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F984" w14:textId="77777777" w:rsidR="005904FA" w:rsidRDefault="005904FA" w:rsidP="005904FA">
      <w:pPr>
        <w:pStyle w:val="ab"/>
        <w:ind w:right="-1" w:firstLine="0"/>
        <w:rPr>
          <w:b w:val="0"/>
          <w:szCs w:val="28"/>
          <w:lang w:eastAsia="uk-UA"/>
        </w:rPr>
      </w:pPr>
    </w:p>
    <w:p w14:paraId="317F27CD" w14:textId="1682527D" w:rsidR="0042632B" w:rsidRDefault="0042632B" w:rsidP="00426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 проведення внутрішнього аудиту в Головному управлінні статистики у </w:t>
      </w:r>
      <w:r w:rsidR="002A5C28">
        <w:rPr>
          <w:b/>
          <w:sz w:val="28"/>
          <w:szCs w:val="28"/>
        </w:rPr>
        <w:t xml:space="preserve">Закарпатській </w:t>
      </w:r>
      <w:r>
        <w:rPr>
          <w:b/>
          <w:sz w:val="28"/>
          <w:szCs w:val="28"/>
        </w:rPr>
        <w:t>області</w:t>
      </w:r>
    </w:p>
    <w:p w14:paraId="7626BE0F" w14:textId="77777777" w:rsidR="005904FA" w:rsidRDefault="005904FA" w:rsidP="005904FA">
      <w:pPr>
        <w:pStyle w:val="ab"/>
        <w:ind w:right="-1" w:firstLine="0"/>
        <w:rPr>
          <w:b w:val="0"/>
        </w:rPr>
      </w:pPr>
    </w:p>
    <w:p w14:paraId="0E322367" w14:textId="758C2794" w:rsidR="002A5C28" w:rsidRDefault="0042632B" w:rsidP="002A5C2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Оцінкою стану організації внутрішнього контролю за елементом управління ризиками, проведеною в ГУС у </w:t>
      </w:r>
      <w:r w:rsidR="002A5C28">
        <w:rPr>
          <w:sz w:val="28"/>
          <w:szCs w:val="28"/>
        </w:rPr>
        <w:t xml:space="preserve">Закарпатській </w:t>
      </w:r>
      <w:r>
        <w:rPr>
          <w:sz w:val="28"/>
          <w:szCs w:val="28"/>
        </w:rPr>
        <w:t xml:space="preserve">області за період </w:t>
      </w:r>
      <w:r w:rsidRPr="00873F0C">
        <w:rPr>
          <w:sz w:val="28"/>
          <w:szCs w:val="28"/>
        </w:rPr>
        <w:t>з</w:t>
      </w:r>
      <w:r>
        <w:rPr>
          <w:sz w:val="28"/>
          <w:szCs w:val="28"/>
        </w:rPr>
        <w:t xml:space="preserve"> 01.01.2020 по 01.0</w:t>
      </w:r>
      <w:r w:rsidR="002A5C28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2A5C28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Pr="00B776F0">
        <w:rPr>
          <w:sz w:val="28"/>
          <w:szCs w:val="28"/>
        </w:rPr>
        <w:t>засвідчено запровадження та здійснення роботи щодо організації діяльності з управління ризиками</w:t>
      </w:r>
      <w:r>
        <w:rPr>
          <w:sz w:val="28"/>
          <w:szCs w:val="28"/>
        </w:rPr>
        <w:t>.</w:t>
      </w:r>
    </w:p>
    <w:p w14:paraId="51736398" w14:textId="77777777" w:rsidR="00B750CF" w:rsidRDefault="00B750CF" w:rsidP="00B750CF">
      <w:pPr>
        <w:ind w:firstLine="567"/>
        <w:jc w:val="both"/>
        <w:rPr>
          <w:sz w:val="28"/>
          <w:szCs w:val="28"/>
        </w:rPr>
      </w:pPr>
      <w:r w:rsidRPr="00D734E4">
        <w:rPr>
          <w:sz w:val="28"/>
          <w:szCs w:val="28"/>
        </w:rPr>
        <w:t xml:space="preserve">Із грудня 2019 року Головне управління здійснює заходи з ідентифікації та оцінки ризиків, визначає </w:t>
      </w:r>
      <w:r w:rsidR="0008165D">
        <w:rPr>
          <w:sz w:val="28"/>
          <w:szCs w:val="28"/>
        </w:rPr>
        <w:t xml:space="preserve">й </w:t>
      </w:r>
      <w:r w:rsidRPr="00D734E4">
        <w:rPr>
          <w:sz w:val="28"/>
          <w:szCs w:val="28"/>
        </w:rPr>
        <w:t xml:space="preserve">конкретизує їх види та категорії, а також заходи з усунення ризику або зменшення його впливу на діяльність, переглядає ідентифіковані </w:t>
      </w:r>
      <w:r w:rsidR="0008165D">
        <w:rPr>
          <w:sz w:val="28"/>
          <w:szCs w:val="28"/>
        </w:rPr>
        <w:t xml:space="preserve">й </w:t>
      </w:r>
      <w:r w:rsidRPr="00D734E4">
        <w:rPr>
          <w:sz w:val="28"/>
          <w:szCs w:val="28"/>
        </w:rPr>
        <w:t xml:space="preserve">оцінені ризики для виявлення нових </w:t>
      </w:r>
      <w:r w:rsidRPr="00DA5806">
        <w:rPr>
          <w:sz w:val="28"/>
          <w:szCs w:val="28"/>
        </w:rPr>
        <w:t>і</w:t>
      </w:r>
      <w:r w:rsidRPr="00D734E4">
        <w:rPr>
          <w:sz w:val="28"/>
          <w:szCs w:val="28"/>
        </w:rPr>
        <w:t xml:space="preserve"> таких, що зазнали змін, та проводить документування </w:t>
      </w:r>
      <w:r w:rsidR="0008165D">
        <w:rPr>
          <w:sz w:val="28"/>
          <w:szCs w:val="28"/>
        </w:rPr>
        <w:t>у</w:t>
      </w:r>
      <w:r w:rsidRPr="00D734E4">
        <w:rPr>
          <w:sz w:val="28"/>
          <w:szCs w:val="28"/>
        </w:rPr>
        <w:t>сіх перелічених заходів</w:t>
      </w:r>
      <w:r>
        <w:rPr>
          <w:sz w:val="28"/>
          <w:szCs w:val="28"/>
        </w:rPr>
        <w:t xml:space="preserve"> відповідно до Політики</w:t>
      </w:r>
      <w:r w:rsidR="0042632B" w:rsidRPr="0042632B">
        <w:t xml:space="preserve"> </w:t>
      </w:r>
      <w:r w:rsidR="0042632B" w:rsidRPr="0042632B">
        <w:rPr>
          <w:sz w:val="28"/>
          <w:szCs w:val="28"/>
        </w:rPr>
        <w:t xml:space="preserve">керування ризиками органів державної статистики (далі </w:t>
      </w:r>
      <w:bookmarkStart w:id="0" w:name="_Hlk154664369"/>
      <w:r w:rsidR="0042632B" w:rsidRPr="0042632B">
        <w:rPr>
          <w:sz w:val="28"/>
          <w:szCs w:val="28"/>
        </w:rPr>
        <w:t>–</w:t>
      </w:r>
      <w:bookmarkEnd w:id="0"/>
      <w:r w:rsidR="0042632B" w:rsidRPr="0042632B">
        <w:rPr>
          <w:sz w:val="28"/>
          <w:szCs w:val="28"/>
        </w:rPr>
        <w:t xml:space="preserve"> Політика).</w:t>
      </w:r>
      <w:r w:rsidR="0042632B">
        <w:rPr>
          <w:sz w:val="28"/>
          <w:szCs w:val="28"/>
        </w:rPr>
        <w:t xml:space="preserve"> </w:t>
      </w:r>
    </w:p>
    <w:p w14:paraId="52C09031" w14:textId="33451DF1" w:rsidR="00B750CF" w:rsidRDefault="00B750CF" w:rsidP="00077C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52E38">
        <w:rPr>
          <w:sz w:val="28"/>
          <w:szCs w:val="28"/>
        </w:rPr>
        <w:t xml:space="preserve">кладено </w:t>
      </w:r>
      <w:r w:rsidR="00E47FED" w:rsidRPr="003B63A4">
        <w:rPr>
          <w:sz w:val="28"/>
          <w:szCs w:val="28"/>
        </w:rPr>
        <w:t>й</w:t>
      </w:r>
      <w:r w:rsidRPr="00452E38">
        <w:rPr>
          <w:sz w:val="28"/>
          <w:szCs w:val="28"/>
        </w:rPr>
        <w:t xml:space="preserve"> затверджено начальником Головного управління План заходів з усунення ризиків та зменшення їх впливу на діяльність ГУС</w:t>
      </w:r>
      <w:r w:rsidRPr="00C73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2A5C28">
        <w:rPr>
          <w:sz w:val="28"/>
          <w:szCs w:val="28"/>
        </w:rPr>
        <w:t xml:space="preserve">Закарпатській </w:t>
      </w:r>
      <w:r w:rsidRPr="00452E38">
        <w:rPr>
          <w:sz w:val="28"/>
          <w:szCs w:val="28"/>
        </w:rPr>
        <w:t>області</w:t>
      </w:r>
      <w:r w:rsidR="00077CA1">
        <w:rPr>
          <w:sz w:val="28"/>
          <w:szCs w:val="28"/>
        </w:rPr>
        <w:t xml:space="preserve"> (далі – Плани заходів)</w:t>
      </w:r>
      <w:r w:rsidRPr="00452E38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, 2021, </w:t>
      </w:r>
      <w:r w:rsidRPr="00452E38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2A5C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3F0C">
        <w:rPr>
          <w:sz w:val="28"/>
          <w:szCs w:val="28"/>
        </w:rPr>
        <w:t>2023</w:t>
      </w:r>
      <w:r w:rsidR="00466A28" w:rsidRPr="00873F0C">
        <w:rPr>
          <w:sz w:val="28"/>
          <w:szCs w:val="28"/>
        </w:rPr>
        <w:t xml:space="preserve"> та</w:t>
      </w:r>
      <w:r w:rsidR="002A5C28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 w:rsidRPr="00452E38">
        <w:rPr>
          <w:sz w:val="28"/>
          <w:szCs w:val="28"/>
        </w:rPr>
        <w:t>роки</w:t>
      </w:r>
      <w:r>
        <w:rPr>
          <w:sz w:val="28"/>
          <w:szCs w:val="28"/>
        </w:rPr>
        <w:t>.</w:t>
      </w:r>
    </w:p>
    <w:p w14:paraId="7BEB6CDE" w14:textId="518FFDC7" w:rsidR="002A5C28" w:rsidRDefault="002A5C28" w:rsidP="00B750CF">
      <w:pPr>
        <w:ind w:firstLine="567"/>
        <w:jc w:val="both"/>
        <w:rPr>
          <w:sz w:val="28"/>
          <w:szCs w:val="28"/>
        </w:rPr>
      </w:pPr>
      <w:r w:rsidRPr="002A5C28">
        <w:rPr>
          <w:sz w:val="28"/>
          <w:szCs w:val="28"/>
        </w:rPr>
        <w:t>Визначено відповідальну особу за здійснення організаційних заходів щодо роботи з ризиками та відповідальну особу за координацію процесу управління ризиками.</w:t>
      </w:r>
      <w:r>
        <w:rPr>
          <w:sz w:val="28"/>
          <w:szCs w:val="28"/>
        </w:rPr>
        <w:t xml:space="preserve"> </w:t>
      </w:r>
    </w:p>
    <w:p w14:paraId="6739A625" w14:textId="01C66119" w:rsidR="002A5C28" w:rsidRDefault="002A5C28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A5C28">
        <w:rPr>
          <w:sz w:val="28"/>
          <w:szCs w:val="28"/>
        </w:rPr>
        <w:t>Проте діяльність з управління ризиками здійснюється</w:t>
      </w:r>
      <w:r w:rsidR="00466A28">
        <w:rPr>
          <w:sz w:val="28"/>
          <w:szCs w:val="28"/>
        </w:rPr>
        <w:t xml:space="preserve"> </w:t>
      </w:r>
      <w:r w:rsidR="00466A28" w:rsidRPr="00873F0C">
        <w:rPr>
          <w:sz w:val="28"/>
          <w:szCs w:val="28"/>
        </w:rPr>
        <w:t xml:space="preserve">згідно з </w:t>
      </w:r>
      <w:r w:rsidRPr="00873F0C">
        <w:rPr>
          <w:sz w:val="28"/>
          <w:szCs w:val="28"/>
        </w:rPr>
        <w:t>пункт</w:t>
      </w:r>
      <w:r w:rsidR="00466A28" w:rsidRPr="00873F0C">
        <w:rPr>
          <w:sz w:val="28"/>
          <w:szCs w:val="28"/>
        </w:rPr>
        <w:t>ом</w:t>
      </w:r>
      <w:r w:rsidRPr="002A5C28">
        <w:rPr>
          <w:sz w:val="28"/>
          <w:szCs w:val="28"/>
        </w:rPr>
        <w:t xml:space="preserve"> 1 розділу Ш </w:t>
      </w:r>
      <w:r w:rsidR="009B0E2A" w:rsidRPr="00C2171A">
        <w:rPr>
          <w:sz w:val="28"/>
          <w:szCs w:val="28"/>
        </w:rPr>
        <w:t>Порядк</w:t>
      </w:r>
      <w:r w:rsidR="009B0E2A">
        <w:rPr>
          <w:sz w:val="28"/>
          <w:szCs w:val="28"/>
        </w:rPr>
        <w:t>у</w:t>
      </w:r>
      <w:r w:rsidR="009B0E2A" w:rsidRPr="00C2171A">
        <w:rPr>
          <w:sz w:val="28"/>
          <w:szCs w:val="28"/>
        </w:rPr>
        <w:t xml:space="preserve"> організації та функціонування системи управління ризиками в Головному управлінні статистики у Закарпатській області</w:t>
      </w:r>
      <w:r w:rsidR="009B0E2A" w:rsidRPr="002A5C28">
        <w:rPr>
          <w:sz w:val="28"/>
          <w:szCs w:val="28"/>
        </w:rPr>
        <w:t xml:space="preserve"> </w:t>
      </w:r>
      <w:r w:rsidR="009B0E2A">
        <w:rPr>
          <w:sz w:val="28"/>
          <w:szCs w:val="28"/>
        </w:rPr>
        <w:t xml:space="preserve">(далі – </w:t>
      </w:r>
      <w:r w:rsidR="009B0E2A" w:rsidRPr="002A5C28">
        <w:rPr>
          <w:sz w:val="28"/>
          <w:szCs w:val="28"/>
        </w:rPr>
        <w:t>Поряд</w:t>
      </w:r>
      <w:r w:rsidR="009B0E2A">
        <w:rPr>
          <w:sz w:val="28"/>
          <w:szCs w:val="28"/>
        </w:rPr>
        <w:t>о</w:t>
      </w:r>
      <w:r w:rsidR="009B0E2A" w:rsidRPr="002A5C28">
        <w:rPr>
          <w:sz w:val="28"/>
          <w:szCs w:val="28"/>
        </w:rPr>
        <w:t>к</w:t>
      </w:r>
      <w:r w:rsidR="009B0E2A">
        <w:rPr>
          <w:sz w:val="28"/>
          <w:szCs w:val="28"/>
        </w:rPr>
        <w:t xml:space="preserve">) </w:t>
      </w:r>
      <w:r w:rsidRPr="002A5C28">
        <w:rPr>
          <w:sz w:val="28"/>
          <w:szCs w:val="28"/>
        </w:rPr>
        <w:t>керівниками СП без урахування пропозицій працівників цих підрозділів після самостійного перегляду ними сфери своєї діяльності та можливих ризиків, а також головними спеціалістами з відповідних питань, що безпосередньо підпорядковуються керівнику Головного управління. Натомість здійснення зазначеної діяльності лише керівниками СП не відповідає вимогам, визначеним в абзаці третьому пункту 5 Основних засад внутрішнього контролю, відповідно до яких діяльність з управління ризиками здійснюють керівники та працівники установи.</w:t>
      </w:r>
    </w:p>
    <w:p w14:paraId="788AF7F7" w14:textId="77777777" w:rsidR="002A5C28" w:rsidRPr="002A5C28" w:rsidRDefault="002A5C28" w:rsidP="002A5C28">
      <w:pPr>
        <w:ind w:firstLine="567"/>
        <w:jc w:val="both"/>
        <w:rPr>
          <w:sz w:val="28"/>
          <w:szCs w:val="28"/>
        </w:rPr>
      </w:pPr>
      <w:r w:rsidRPr="002A5C28">
        <w:rPr>
          <w:sz w:val="28"/>
          <w:szCs w:val="28"/>
        </w:rPr>
        <w:t xml:space="preserve">Утворено робочу групу щодо роботи з ризиками, затверджено її персональний склад і Положення про робочу групу. </w:t>
      </w:r>
    </w:p>
    <w:p w14:paraId="6A786647" w14:textId="0657BBCA" w:rsidR="002A5C28" w:rsidRPr="002A5C28" w:rsidRDefault="002A5C28" w:rsidP="002A5C28">
      <w:pPr>
        <w:ind w:firstLine="567"/>
        <w:jc w:val="both"/>
        <w:rPr>
          <w:sz w:val="28"/>
          <w:szCs w:val="28"/>
        </w:rPr>
      </w:pPr>
      <w:r w:rsidRPr="002A5C28">
        <w:rPr>
          <w:sz w:val="28"/>
          <w:szCs w:val="28"/>
        </w:rPr>
        <w:t>Засідання робочої групи упродовж 2022–2023 років проводилися не менше одного разу на рік.</w:t>
      </w:r>
    </w:p>
    <w:p w14:paraId="5528F40C" w14:textId="77777777" w:rsidR="009B0E2A" w:rsidRPr="009B0E2A" w:rsidRDefault="009B0E2A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B0E2A">
        <w:rPr>
          <w:sz w:val="28"/>
          <w:szCs w:val="28"/>
        </w:rPr>
        <w:t>Політикою з управління ризиками та додатками до неї до 2022 року не було передбачено норми щодо визначення та документування цілей перед здійсненням ідентифікації ризиків, а також способів реагування на ідентифіковані й оцінені ризики (зменшення, прийняття, розділення, уникнення). Натомість передбачено документування заходів з усунення ризику або зменшення його впливу на ризик, що Головне управління здійснювало весь період, за який здійснювався аудит.</w:t>
      </w:r>
    </w:p>
    <w:p w14:paraId="61C2E07D" w14:textId="7C42BA80" w:rsidR="009B0E2A" w:rsidRDefault="009B0E2A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B0E2A">
        <w:rPr>
          <w:sz w:val="28"/>
          <w:szCs w:val="28"/>
        </w:rPr>
        <w:t xml:space="preserve">Після внесення відповідних змін до Політики наказом Держстату від 03.05.2022 № 73 та розроблення й затвердження керівником установи </w:t>
      </w:r>
      <w:r w:rsidRPr="009B0E2A">
        <w:rPr>
          <w:sz w:val="28"/>
          <w:szCs w:val="28"/>
        </w:rPr>
        <w:lastRenderedPageBreak/>
        <w:t>внутрішнього документа (Порядку), спрямованого на забезпечення організації та функціонування цього елементу внутрішнього контролю, Головне управління визначає й документує операційні цілі та способи реагування на ідентифіковані та оцінені ризики.</w:t>
      </w:r>
    </w:p>
    <w:p w14:paraId="2AAE508E" w14:textId="77777777" w:rsidR="009B0E2A" w:rsidRPr="009B0E2A" w:rsidRDefault="009B0E2A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B0E2A">
        <w:rPr>
          <w:sz w:val="28"/>
          <w:szCs w:val="28"/>
        </w:rPr>
        <w:t>Проте у Порядку не зазначено хто має визначати та схвалювати операційні цілі діяльності ГУС перед наданням їх на затвердження керівнику Головного управління, доводити їх до СП.</w:t>
      </w:r>
    </w:p>
    <w:p w14:paraId="26F9C5CD" w14:textId="08D5DF95" w:rsidR="009B0E2A" w:rsidRDefault="009B0E2A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 w:rsidRPr="009B0E2A">
        <w:rPr>
          <w:sz w:val="28"/>
          <w:szCs w:val="28"/>
        </w:rPr>
        <w:t>Нерегламентованість</w:t>
      </w:r>
      <w:proofErr w:type="spellEnd"/>
      <w:r w:rsidRPr="009B0E2A">
        <w:rPr>
          <w:sz w:val="28"/>
          <w:szCs w:val="28"/>
        </w:rPr>
        <w:t xml:space="preserve"> протягом певного періоду основних вимог щодо визначення цілей призвела до формального відношення керівників СП та робочої групи до цього елементу процесу управління ризиками.</w:t>
      </w:r>
    </w:p>
    <w:p w14:paraId="05E081CB" w14:textId="3287BDDF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77CA1">
        <w:rPr>
          <w:sz w:val="28"/>
          <w:szCs w:val="28"/>
        </w:rPr>
        <w:t>Зокрема</w:t>
      </w:r>
      <w:r w:rsidR="00466A28" w:rsidRPr="00873F0C">
        <w:rPr>
          <w:sz w:val="28"/>
          <w:szCs w:val="28"/>
        </w:rPr>
        <w:t>,</w:t>
      </w:r>
      <w:r w:rsidRPr="00077CA1">
        <w:rPr>
          <w:sz w:val="28"/>
          <w:szCs w:val="28"/>
        </w:rPr>
        <w:t xml:space="preserve"> СП ідентифікували ризики на 2020–2022 роки без урахування стратегічних/операційних цілей та визначали лише негативні події, що потенційно могли відбутися, без розуміння та визначення чітких цілей, яких вони хочуть досягти за процесами. Але й після визначення у 2022 році у Порядку принципів формування операційних цілей більшість СП не дотримувалась вимоги формулювання їх у розумний спосіб. Це вплинуло на те, що при визначенні ризиків акценти були зосереджені на незначних ризиках, що можуть виникнути у процесі діяльності. А в окремих випадках ризики визначались як цілі. </w:t>
      </w:r>
    </w:p>
    <w:p w14:paraId="10DFE958" w14:textId="77777777" w:rsidR="00077CA1" w:rsidRDefault="00077CA1" w:rsidP="00077C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Ідентифікація ризиків здійснюється із застосуванням методів визначення ризиків на рівні конкретних операцій/ділянки роботи</w:t>
      </w:r>
      <w:r w:rsidRPr="003054AD">
        <w:t xml:space="preserve"> </w:t>
      </w:r>
      <w:r w:rsidRPr="00DA469C">
        <w:rPr>
          <w:sz w:val="28"/>
          <w:szCs w:val="28"/>
        </w:rPr>
        <w:t>(</w:t>
      </w:r>
      <w:r w:rsidRPr="003054AD">
        <w:rPr>
          <w:sz w:val="28"/>
          <w:szCs w:val="28"/>
        </w:rPr>
        <w:t>метод "знизу догори"</w:t>
      </w:r>
      <w:r w:rsidRPr="00DA469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та на рівні установи </w:t>
      </w:r>
      <w:r w:rsidRPr="00DA469C">
        <w:rPr>
          <w:sz w:val="28"/>
          <w:szCs w:val="28"/>
        </w:rPr>
        <w:t>(</w:t>
      </w:r>
      <w:r w:rsidRPr="004D7B3A">
        <w:rPr>
          <w:sz w:val="28"/>
          <w:szCs w:val="28"/>
        </w:rPr>
        <w:t>метод "згори донизу</w:t>
      </w:r>
      <w:bookmarkStart w:id="1" w:name="_Hlk175067831"/>
      <w:r w:rsidRPr="00952C6E">
        <w:rPr>
          <w:sz w:val="28"/>
          <w:szCs w:val="28"/>
        </w:rPr>
        <w:t>"</w:t>
      </w:r>
      <w:bookmarkEnd w:id="1"/>
      <w:r w:rsidRPr="00DA469C">
        <w:rPr>
          <w:sz w:val="28"/>
          <w:szCs w:val="28"/>
        </w:rPr>
        <w:t>).</w:t>
      </w:r>
    </w:p>
    <w:p w14:paraId="790788F7" w14:textId="77777777" w:rsidR="00077CA1" w:rsidRDefault="00077CA1" w:rsidP="00077C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35F89">
        <w:rPr>
          <w:sz w:val="28"/>
          <w:szCs w:val="28"/>
        </w:rPr>
        <w:t xml:space="preserve">Оцінка ризиків здійснюється за критеріями ймовірності виникнення ризиків </w:t>
      </w:r>
      <w:r w:rsidRPr="00DA5806">
        <w:rPr>
          <w:sz w:val="28"/>
          <w:szCs w:val="28"/>
        </w:rPr>
        <w:t>і</w:t>
      </w:r>
      <w:r w:rsidRPr="00C35F89">
        <w:rPr>
          <w:sz w:val="28"/>
          <w:szCs w:val="28"/>
        </w:rPr>
        <w:t xml:space="preserve"> величиною наслідків ризику.</w:t>
      </w:r>
      <w:r>
        <w:rPr>
          <w:sz w:val="28"/>
          <w:szCs w:val="28"/>
        </w:rPr>
        <w:t xml:space="preserve"> </w:t>
      </w:r>
    </w:p>
    <w:p w14:paraId="311E6E2F" w14:textId="77777777" w:rsidR="00077CA1" w:rsidRDefault="00077CA1" w:rsidP="00077CA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5F89">
        <w:rPr>
          <w:sz w:val="28"/>
          <w:szCs w:val="28"/>
        </w:rPr>
        <w:t>абезпеч</w:t>
      </w:r>
      <w:r>
        <w:rPr>
          <w:sz w:val="28"/>
          <w:szCs w:val="28"/>
        </w:rPr>
        <w:t>ено</w:t>
      </w:r>
      <w:r w:rsidRPr="00C35F89">
        <w:rPr>
          <w:sz w:val="28"/>
          <w:szCs w:val="28"/>
        </w:rPr>
        <w:t xml:space="preserve"> здійснення моніторингу за </w:t>
      </w:r>
      <w:r w:rsidRPr="0081388E">
        <w:rPr>
          <w:sz w:val="28"/>
          <w:szCs w:val="28"/>
        </w:rPr>
        <w:t xml:space="preserve">станом </w:t>
      </w:r>
      <w:r w:rsidRPr="00C35F89">
        <w:rPr>
          <w:sz w:val="28"/>
          <w:szCs w:val="28"/>
        </w:rPr>
        <w:t>виконання Плану заходів.</w:t>
      </w:r>
      <w:r>
        <w:rPr>
          <w:sz w:val="28"/>
          <w:szCs w:val="28"/>
        </w:rPr>
        <w:t xml:space="preserve"> І, як наслідок, </w:t>
      </w:r>
      <w:r w:rsidRPr="00DA5806">
        <w:rPr>
          <w:sz w:val="28"/>
          <w:szCs w:val="28"/>
        </w:rPr>
        <w:t>п</w:t>
      </w:r>
      <w:r>
        <w:rPr>
          <w:sz w:val="28"/>
          <w:szCs w:val="28"/>
        </w:rPr>
        <w:t>лани заходів на 2020, 2021, 2022, 2023 роки виконані.</w:t>
      </w:r>
    </w:p>
    <w:p w14:paraId="7775BDB0" w14:textId="64E899C5" w:rsidR="00077CA1" w:rsidRPr="0014716E" w:rsidRDefault="00077CA1" w:rsidP="00077CA1">
      <w:pPr>
        <w:ind w:firstLine="567"/>
        <w:jc w:val="both"/>
        <w:rPr>
          <w:sz w:val="28"/>
          <w:szCs w:val="28"/>
        </w:rPr>
      </w:pPr>
      <w:r w:rsidRPr="0081388E">
        <w:rPr>
          <w:sz w:val="28"/>
          <w:szCs w:val="28"/>
        </w:rPr>
        <w:t>І хоча План</w:t>
      </w:r>
      <w:r>
        <w:rPr>
          <w:sz w:val="28"/>
          <w:szCs w:val="28"/>
        </w:rPr>
        <w:t>и</w:t>
      </w:r>
      <w:r w:rsidRPr="0081388E">
        <w:rPr>
          <w:sz w:val="28"/>
          <w:szCs w:val="28"/>
        </w:rPr>
        <w:t xml:space="preserve"> заходів Головне управління виконувало,</w:t>
      </w:r>
      <w:r w:rsidRPr="0081388E">
        <w:t xml:space="preserve"> </w:t>
      </w:r>
      <w:r w:rsidRPr="0081388E">
        <w:rPr>
          <w:sz w:val="28"/>
          <w:szCs w:val="28"/>
        </w:rPr>
        <w:t xml:space="preserve">проте </w:t>
      </w:r>
      <w:bookmarkStart w:id="2" w:name="_Hlk175067313"/>
      <w:r w:rsidRPr="0014716E">
        <w:rPr>
          <w:sz w:val="28"/>
          <w:szCs w:val="28"/>
        </w:rPr>
        <w:t xml:space="preserve">моніторинг щодо виконання заходів, </w:t>
      </w:r>
      <w:r w:rsidR="00466A28" w:rsidRPr="00873F0C">
        <w:rPr>
          <w:sz w:val="28"/>
          <w:szCs w:val="28"/>
        </w:rPr>
        <w:t>які</w:t>
      </w:r>
      <w:r w:rsidRPr="0014716E">
        <w:rPr>
          <w:sz w:val="28"/>
          <w:szCs w:val="28"/>
        </w:rPr>
        <w:t xml:space="preserve"> не увійшли до </w:t>
      </w:r>
      <w:r w:rsidRPr="00B100B8">
        <w:rPr>
          <w:sz w:val="28"/>
          <w:szCs w:val="28"/>
        </w:rPr>
        <w:t>вказаного</w:t>
      </w:r>
      <w:r w:rsidRPr="0014716E">
        <w:rPr>
          <w:sz w:val="28"/>
          <w:szCs w:val="28"/>
        </w:rPr>
        <w:t xml:space="preserve"> Плану заходів, </w:t>
      </w:r>
      <w:r w:rsidRPr="00CA3177">
        <w:rPr>
          <w:sz w:val="28"/>
          <w:szCs w:val="28"/>
        </w:rPr>
        <w:t>керівники СП та головні спеціалісти, що безпосередньо підпорядковуються керівнику Головного управління, не здійснювали.</w:t>
      </w:r>
      <w:r w:rsidRPr="0014716E">
        <w:rPr>
          <w:sz w:val="28"/>
          <w:szCs w:val="28"/>
        </w:rPr>
        <w:t xml:space="preserve"> Це призвело до невиконання окремих заходів з усунення ризиків, що мали низьку оцінку ризику </w:t>
      </w:r>
      <w:r w:rsidRPr="00B100B8">
        <w:rPr>
          <w:sz w:val="28"/>
          <w:szCs w:val="28"/>
        </w:rPr>
        <w:t>й</w:t>
      </w:r>
      <w:r w:rsidRPr="0014716E">
        <w:rPr>
          <w:sz w:val="28"/>
          <w:szCs w:val="28"/>
        </w:rPr>
        <w:t xml:space="preserve"> не були включені до нього.</w:t>
      </w:r>
    </w:p>
    <w:bookmarkEnd w:id="2"/>
    <w:p w14:paraId="7AFB071D" w14:textId="0D0914F6" w:rsidR="00077CA1" w:rsidRPr="00CA3177" w:rsidRDefault="00077CA1" w:rsidP="00077CA1">
      <w:pPr>
        <w:tabs>
          <w:tab w:val="left" w:pos="567"/>
        </w:tabs>
        <w:ind w:firstLine="567"/>
        <w:jc w:val="both"/>
        <w:rPr>
          <w:sz w:val="28"/>
          <w:szCs w:val="28"/>
          <w:u w:val="single"/>
        </w:rPr>
      </w:pPr>
      <w:r w:rsidRPr="00CA3177">
        <w:rPr>
          <w:sz w:val="28"/>
          <w:szCs w:val="28"/>
        </w:rPr>
        <w:t>Недоліки у цій складовій процесу управління ризиками пов’язані з відсутністю у Порядку Головного управління розділу "Моніторинг", в якому були б визначені основні вимоги щодо здійснення цієї складової процесу управління ризиками.</w:t>
      </w:r>
      <w:r w:rsidRPr="00CA3177">
        <w:rPr>
          <w:sz w:val="28"/>
          <w:szCs w:val="28"/>
          <w:u w:val="single"/>
        </w:rPr>
        <w:t xml:space="preserve"> </w:t>
      </w:r>
    </w:p>
    <w:p w14:paraId="1F1D232B" w14:textId="0CC5F9B6" w:rsidR="00077CA1" w:rsidRPr="00077CA1" w:rsidRDefault="00077CA1" w:rsidP="00077CA1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CA3177">
        <w:rPr>
          <w:sz w:val="28"/>
          <w:szCs w:val="28"/>
        </w:rPr>
        <w:t>Зокрема</w:t>
      </w:r>
      <w:r w:rsidRPr="00B100B8">
        <w:rPr>
          <w:sz w:val="28"/>
          <w:szCs w:val="28"/>
        </w:rPr>
        <w:t>,</w:t>
      </w:r>
      <w:r w:rsidRPr="00CA3177">
        <w:rPr>
          <w:sz w:val="28"/>
          <w:szCs w:val="28"/>
        </w:rPr>
        <w:t xml:space="preserve"> у Порядку не визначено відповідальний підрозділ/відповідальну особу за здійснення моніторингу заходів з усунення ризиків та зменшення їх впливу на діяльність ГУС у Закарпатській області, періодичність здійснення моніторингу та строки (терміни) надання СП та головними спеціалістами з відповідних питань інформації із зазначеного питання відповідальному, а також надання відповідальним за здійснення моніторингу чи робочою групою узагальненої інформації щодо результатів проведеного моніторингу здійснення </w:t>
      </w:r>
      <w:r w:rsidRPr="00B100B8">
        <w:rPr>
          <w:sz w:val="28"/>
          <w:szCs w:val="28"/>
        </w:rPr>
        <w:t>заходів з усунення ризиків начальнику Головного управління.</w:t>
      </w:r>
      <w:r>
        <w:rPr>
          <w:sz w:val="28"/>
          <w:szCs w:val="28"/>
        </w:rPr>
        <w:t xml:space="preserve"> </w:t>
      </w:r>
    </w:p>
    <w:p w14:paraId="3BDAF3B3" w14:textId="77777777" w:rsidR="00077CA1" w:rsidRDefault="00077CA1" w:rsidP="00077CA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9C3F404" w14:textId="77777777" w:rsidR="00077CA1" w:rsidRPr="00CA3177" w:rsidRDefault="00077CA1" w:rsidP="00077CA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A3177">
        <w:rPr>
          <w:sz w:val="28"/>
          <w:szCs w:val="28"/>
        </w:rPr>
        <w:t xml:space="preserve">Однією з проблем діяльності з управління ризиками в ГУС у Закарпатській області є відсутність у Політиці вимог щодо формулювання ризиків. Це призвело до некоректного (незрозумілого) формулювання низки ризиків, що не дає достатньої інформації про те, що є коренем проблеми такого ризику, та впливає на некоректне визначення заходів з усунення ризику або зменшення його впливу на діяльність. </w:t>
      </w:r>
    </w:p>
    <w:p w14:paraId="4D751D10" w14:textId="77777777" w:rsidR="00077CA1" w:rsidRPr="002C3CCB" w:rsidRDefault="00077CA1" w:rsidP="00077CA1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893AC1">
        <w:rPr>
          <w:sz w:val="28"/>
          <w:szCs w:val="28"/>
        </w:rPr>
        <w:t>Разом із тим цей</w:t>
      </w:r>
      <w:r>
        <w:rPr>
          <w:sz w:val="28"/>
          <w:szCs w:val="28"/>
        </w:rPr>
        <w:t xml:space="preserve"> недолік також пов</w:t>
      </w:r>
      <w:r w:rsidRPr="00B100B8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язаний </w:t>
      </w:r>
      <w:r w:rsidRPr="00893AC1">
        <w:rPr>
          <w:sz w:val="28"/>
          <w:szCs w:val="28"/>
        </w:rPr>
        <w:t>із</w:t>
      </w:r>
      <w:r w:rsidRPr="005B3570">
        <w:rPr>
          <w:sz w:val="28"/>
          <w:szCs w:val="28"/>
        </w:rPr>
        <w:t xml:space="preserve"> відсутністю практики організації та здійснення процесу управління ризиками</w:t>
      </w:r>
      <w:r>
        <w:rPr>
          <w:sz w:val="28"/>
          <w:szCs w:val="28"/>
        </w:rPr>
        <w:t xml:space="preserve"> </w:t>
      </w:r>
      <w:r w:rsidRPr="00893AC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5B3570">
        <w:rPr>
          <w:sz w:val="28"/>
          <w:szCs w:val="28"/>
        </w:rPr>
        <w:t xml:space="preserve">недостатнім рівнем обізнаності </w:t>
      </w:r>
      <w:r w:rsidRPr="00893AC1">
        <w:rPr>
          <w:sz w:val="28"/>
          <w:szCs w:val="28"/>
        </w:rPr>
        <w:t>та</w:t>
      </w:r>
      <w:r w:rsidRPr="005B3570">
        <w:rPr>
          <w:sz w:val="28"/>
          <w:szCs w:val="28"/>
        </w:rPr>
        <w:t xml:space="preserve"> розуміння основних понять працівників Головного управління </w:t>
      </w:r>
      <w:r w:rsidRPr="00893AC1">
        <w:rPr>
          <w:sz w:val="28"/>
          <w:szCs w:val="28"/>
        </w:rPr>
        <w:t>щодо цього процесу.</w:t>
      </w:r>
      <w:r w:rsidRPr="002C3CCB">
        <w:rPr>
          <w:sz w:val="28"/>
          <w:szCs w:val="28"/>
          <w:highlight w:val="yellow"/>
        </w:rPr>
        <w:t xml:space="preserve">  </w:t>
      </w:r>
    </w:p>
    <w:p w14:paraId="20E8BFF6" w14:textId="77777777" w:rsidR="00077CA1" w:rsidRPr="00AF2D9F" w:rsidRDefault="00077CA1" w:rsidP="00077CA1">
      <w:pPr>
        <w:ind w:firstLine="567"/>
        <w:jc w:val="both"/>
        <w:rPr>
          <w:color w:val="000000"/>
          <w:sz w:val="28"/>
          <w:szCs w:val="28"/>
        </w:rPr>
      </w:pPr>
      <w:r w:rsidRPr="00893AC1">
        <w:rPr>
          <w:color w:val="000000"/>
          <w:sz w:val="28"/>
          <w:szCs w:val="28"/>
        </w:rPr>
        <w:t>Роз’яснювальна робота стосовно</w:t>
      </w:r>
      <w:r w:rsidRPr="00AF2D9F">
        <w:rPr>
          <w:color w:val="000000"/>
          <w:sz w:val="28"/>
          <w:szCs w:val="28"/>
        </w:rPr>
        <w:t xml:space="preserve"> організації системи управління ризиками</w:t>
      </w:r>
      <w:r>
        <w:rPr>
          <w:color w:val="000000"/>
          <w:sz w:val="28"/>
          <w:szCs w:val="28"/>
        </w:rPr>
        <w:t xml:space="preserve"> </w:t>
      </w:r>
      <w:r w:rsidRPr="00893AC1">
        <w:rPr>
          <w:color w:val="000000"/>
          <w:sz w:val="28"/>
          <w:szCs w:val="28"/>
        </w:rPr>
        <w:t>в</w:t>
      </w:r>
      <w:r w:rsidRPr="005D5A78">
        <w:rPr>
          <w:color w:val="000000"/>
          <w:sz w:val="28"/>
          <w:szCs w:val="28"/>
        </w:rPr>
        <w:t xml:space="preserve"> Головному управлінні статистики не проводилася</w:t>
      </w:r>
      <w:r w:rsidRPr="00AF2D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F2D9F">
        <w:rPr>
          <w:color w:val="000000"/>
          <w:sz w:val="28"/>
          <w:szCs w:val="28"/>
        </w:rPr>
        <w:t xml:space="preserve">У внутрішніх документах не визначено відповідальний СП та/або працівників за забезпечення надання методологічної допомоги та проведення роз’яснювальної роботи </w:t>
      </w:r>
      <w:r w:rsidRPr="00893AC1">
        <w:rPr>
          <w:color w:val="000000"/>
          <w:sz w:val="28"/>
          <w:szCs w:val="28"/>
        </w:rPr>
        <w:t>й</w:t>
      </w:r>
      <w:r w:rsidRPr="00FD4907">
        <w:rPr>
          <w:color w:val="000000"/>
          <w:sz w:val="28"/>
          <w:szCs w:val="28"/>
        </w:rPr>
        <w:t xml:space="preserve"> консультативної підтримки </w:t>
      </w:r>
      <w:r w:rsidRPr="00AF2D9F">
        <w:rPr>
          <w:color w:val="000000"/>
          <w:sz w:val="28"/>
          <w:szCs w:val="28"/>
        </w:rPr>
        <w:t xml:space="preserve">з питань організації внутрішнього контролю за елементом управління ризиками. </w:t>
      </w:r>
    </w:p>
    <w:p w14:paraId="1C190F58" w14:textId="77777777" w:rsidR="00077CA1" w:rsidRPr="00AF2D9F" w:rsidRDefault="00077CA1" w:rsidP="00077CA1">
      <w:pPr>
        <w:ind w:firstLine="567"/>
        <w:jc w:val="both"/>
        <w:rPr>
          <w:color w:val="000000"/>
          <w:sz w:val="28"/>
          <w:szCs w:val="28"/>
        </w:rPr>
      </w:pPr>
      <w:r w:rsidRPr="00AF2D9F">
        <w:rPr>
          <w:color w:val="000000"/>
          <w:sz w:val="28"/>
          <w:szCs w:val="28"/>
        </w:rPr>
        <w:t>При цьому</w:t>
      </w:r>
      <w:r w:rsidRPr="00CD2745">
        <w:rPr>
          <w:color w:val="000000"/>
          <w:sz w:val="28"/>
          <w:szCs w:val="28"/>
        </w:rPr>
        <w:t>,</w:t>
      </w:r>
      <w:r w:rsidRPr="00AF2D9F">
        <w:rPr>
          <w:color w:val="000000"/>
          <w:sz w:val="28"/>
          <w:szCs w:val="28"/>
        </w:rPr>
        <w:t xml:space="preserve"> у разі звернення працівників ГУС за додатковими роз’ясненнями та методологічною допомогою до </w:t>
      </w:r>
      <w:r>
        <w:rPr>
          <w:color w:val="000000"/>
          <w:sz w:val="28"/>
          <w:szCs w:val="28"/>
        </w:rPr>
        <w:t>Г</w:t>
      </w:r>
      <w:r w:rsidRPr="00AF2D9F">
        <w:rPr>
          <w:color w:val="000000"/>
          <w:sz w:val="28"/>
          <w:szCs w:val="28"/>
        </w:rPr>
        <w:t xml:space="preserve">олови робочої групи, вони отримували всі необхідні роз’яснення та відповіді. </w:t>
      </w:r>
    </w:p>
    <w:p w14:paraId="086E67AF" w14:textId="77777777" w:rsidR="00077CA1" w:rsidRDefault="00077CA1" w:rsidP="00077CA1">
      <w:pPr>
        <w:ind w:firstLine="567"/>
        <w:jc w:val="both"/>
        <w:rPr>
          <w:color w:val="000000"/>
          <w:sz w:val="28"/>
          <w:szCs w:val="28"/>
        </w:rPr>
      </w:pPr>
      <w:r w:rsidRPr="00AF2D9F">
        <w:rPr>
          <w:color w:val="000000"/>
          <w:sz w:val="28"/>
          <w:szCs w:val="28"/>
        </w:rPr>
        <w:t>Проте окремі звернення за додатковими роз’ясненнями та методологічною допомогою не дали повного розуміння працівниками цього процесу.</w:t>
      </w:r>
    </w:p>
    <w:p w14:paraId="0FEF1818" w14:textId="39798192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77CA1">
        <w:rPr>
          <w:sz w:val="28"/>
          <w:szCs w:val="28"/>
        </w:rPr>
        <w:t>Дослідження засвідчило необхідність формалізувати, а також активізувати надання методологічної допомоги та консультативної підтримки працівник</w:t>
      </w:r>
      <w:bookmarkStart w:id="3" w:name="_GoBack"/>
      <w:bookmarkEnd w:id="3"/>
      <w:r w:rsidR="00466A28" w:rsidRPr="00873F0C">
        <w:rPr>
          <w:sz w:val="28"/>
          <w:szCs w:val="28"/>
        </w:rPr>
        <w:t>ам</w:t>
      </w:r>
      <w:r w:rsidR="00466A28">
        <w:rPr>
          <w:sz w:val="28"/>
          <w:szCs w:val="28"/>
        </w:rPr>
        <w:t xml:space="preserve"> </w:t>
      </w:r>
      <w:r w:rsidRPr="00077CA1">
        <w:rPr>
          <w:sz w:val="28"/>
          <w:szCs w:val="28"/>
        </w:rPr>
        <w:t>Головного управління.</w:t>
      </w:r>
      <w:r>
        <w:rPr>
          <w:sz w:val="28"/>
          <w:szCs w:val="28"/>
        </w:rPr>
        <w:t xml:space="preserve"> </w:t>
      </w:r>
    </w:p>
    <w:p w14:paraId="42640A77" w14:textId="12F23EA4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7259D106" w14:textId="7AB4BCE6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2BFCF26" w14:textId="137AA792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37B3972" w14:textId="0957BE1B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624D6AC" w14:textId="4E4C3530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CA14ED3" w14:textId="77777777" w:rsidR="00077CA1" w:rsidRDefault="00077CA1" w:rsidP="009B0E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21C22922" w14:textId="77777777" w:rsidR="00714B93" w:rsidRPr="004E2882" w:rsidRDefault="00714B93" w:rsidP="00456F4B">
      <w:pPr>
        <w:tabs>
          <w:tab w:val="left" w:pos="567"/>
          <w:tab w:val="left" w:pos="7088"/>
        </w:tabs>
        <w:rPr>
          <w:sz w:val="28"/>
          <w:szCs w:val="28"/>
        </w:rPr>
      </w:pPr>
    </w:p>
    <w:sectPr w:rsidR="00714B93" w:rsidRPr="004E2882" w:rsidSect="009667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87985"/>
    <w:multiLevelType w:val="hybridMultilevel"/>
    <w:tmpl w:val="F26CBA76"/>
    <w:lvl w:ilvl="0" w:tplc="8AAA3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DAE6DE2"/>
    <w:multiLevelType w:val="hybridMultilevel"/>
    <w:tmpl w:val="7C6A8C28"/>
    <w:lvl w:ilvl="0" w:tplc="964C6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6A"/>
    <w:rsid w:val="00006CBE"/>
    <w:rsid w:val="00031CA6"/>
    <w:rsid w:val="0004244C"/>
    <w:rsid w:val="00066ABF"/>
    <w:rsid w:val="00077CA1"/>
    <w:rsid w:val="0008165D"/>
    <w:rsid w:val="000A392A"/>
    <w:rsid w:val="000A7A10"/>
    <w:rsid w:val="000B7D55"/>
    <w:rsid w:val="000C3B46"/>
    <w:rsid w:val="000E10D6"/>
    <w:rsid w:val="000E6545"/>
    <w:rsid w:val="000E68A5"/>
    <w:rsid w:val="000F43E9"/>
    <w:rsid w:val="00102C68"/>
    <w:rsid w:val="00117BCF"/>
    <w:rsid w:val="00121CF4"/>
    <w:rsid w:val="00123E37"/>
    <w:rsid w:val="001733E8"/>
    <w:rsid w:val="0018280D"/>
    <w:rsid w:val="00193384"/>
    <w:rsid w:val="00197A43"/>
    <w:rsid w:val="001A1C38"/>
    <w:rsid w:val="001A3439"/>
    <w:rsid w:val="001C6036"/>
    <w:rsid w:val="001E2BF4"/>
    <w:rsid w:val="001E783E"/>
    <w:rsid w:val="00200E6A"/>
    <w:rsid w:val="00202D41"/>
    <w:rsid w:val="002236B7"/>
    <w:rsid w:val="00232AE5"/>
    <w:rsid w:val="0025478B"/>
    <w:rsid w:val="00257ACA"/>
    <w:rsid w:val="002A5C28"/>
    <w:rsid w:val="002C3137"/>
    <w:rsid w:val="002D06EE"/>
    <w:rsid w:val="003253B3"/>
    <w:rsid w:val="00355003"/>
    <w:rsid w:val="00362CF7"/>
    <w:rsid w:val="003808E9"/>
    <w:rsid w:val="003908D8"/>
    <w:rsid w:val="00393D04"/>
    <w:rsid w:val="003B263D"/>
    <w:rsid w:val="003B5818"/>
    <w:rsid w:val="003B63A4"/>
    <w:rsid w:val="003B6F82"/>
    <w:rsid w:val="003D3966"/>
    <w:rsid w:val="003E0D5F"/>
    <w:rsid w:val="003E5FC8"/>
    <w:rsid w:val="0040025B"/>
    <w:rsid w:val="0040382D"/>
    <w:rsid w:val="00422A63"/>
    <w:rsid w:val="0042632B"/>
    <w:rsid w:val="00427397"/>
    <w:rsid w:val="00456F4B"/>
    <w:rsid w:val="00466A28"/>
    <w:rsid w:val="00476971"/>
    <w:rsid w:val="00481058"/>
    <w:rsid w:val="004A0A42"/>
    <w:rsid w:val="004A54E1"/>
    <w:rsid w:val="004B7C0A"/>
    <w:rsid w:val="004B7C54"/>
    <w:rsid w:val="004E2882"/>
    <w:rsid w:val="00503872"/>
    <w:rsid w:val="00572964"/>
    <w:rsid w:val="0058257B"/>
    <w:rsid w:val="00583166"/>
    <w:rsid w:val="00585FA2"/>
    <w:rsid w:val="00587C01"/>
    <w:rsid w:val="005904FA"/>
    <w:rsid w:val="005A01E5"/>
    <w:rsid w:val="005A2972"/>
    <w:rsid w:val="005B4D68"/>
    <w:rsid w:val="005D17A7"/>
    <w:rsid w:val="005D5ED3"/>
    <w:rsid w:val="005F439F"/>
    <w:rsid w:val="00603E69"/>
    <w:rsid w:val="00636027"/>
    <w:rsid w:val="006426F1"/>
    <w:rsid w:val="00656415"/>
    <w:rsid w:val="0066544B"/>
    <w:rsid w:val="00690788"/>
    <w:rsid w:val="006A1B82"/>
    <w:rsid w:val="006B0545"/>
    <w:rsid w:val="006C4904"/>
    <w:rsid w:val="00700A11"/>
    <w:rsid w:val="00711D0C"/>
    <w:rsid w:val="00714B93"/>
    <w:rsid w:val="007410F4"/>
    <w:rsid w:val="00763C42"/>
    <w:rsid w:val="00767495"/>
    <w:rsid w:val="007735EB"/>
    <w:rsid w:val="00782C30"/>
    <w:rsid w:val="00791424"/>
    <w:rsid w:val="007946F5"/>
    <w:rsid w:val="007B1482"/>
    <w:rsid w:val="007E1A9E"/>
    <w:rsid w:val="007E26B9"/>
    <w:rsid w:val="0080007D"/>
    <w:rsid w:val="0082301D"/>
    <w:rsid w:val="00832878"/>
    <w:rsid w:val="0083688D"/>
    <w:rsid w:val="008374F3"/>
    <w:rsid w:val="00851929"/>
    <w:rsid w:val="00873F0C"/>
    <w:rsid w:val="00874780"/>
    <w:rsid w:val="008B46E6"/>
    <w:rsid w:val="008C3A82"/>
    <w:rsid w:val="008C674D"/>
    <w:rsid w:val="008E0B8B"/>
    <w:rsid w:val="008E1B2A"/>
    <w:rsid w:val="008E3FCB"/>
    <w:rsid w:val="008E5A47"/>
    <w:rsid w:val="008F723B"/>
    <w:rsid w:val="00907A13"/>
    <w:rsid w:val="00911A0A"/>
    <w:rsid w:val="009346A7"/>
    <w:rsid w:val="00951281"/>
    <w:rsid w:val="00963871"/>
    <w:rsid w:val="00966711"/>
    <w:rsid w:val="00977018"/>
    <w:rsid w:val="009870B7"/>
    <w:rsid w:val="009915AF"/>
    <w:rsid w:val="00997AD4"/>
    <w:rsid w:val="009B0E2A"/>
    <w:rsid w:val="00A03209"/>
    <w:rsid w:val="00A176F6"/>
    <w:rsid w:val="00A22DD8"/>
    <w:rsid w:val="00A33D2D"/>
    <w:rsid w:val="00A6123E"/>
    <w:rsid w:val="00A65F72"/>
    <w:rsid w:val="00A814BD"/>
    <w:rsid w:val="00A82BFB"/>
    <w:rsid w:val="00A92C67"/>
    <w:rsid w:val="00A96DD9"/>
    <w:rsid w:val="00AC4B84"/>
    <w:rsid w:val="00AD5774"/>
    <w:rsid w:val="00AD6C56"/>
    <w:rsid w:val="00AE036B"/>
    <w:rsid w:val="00AE7AD9"/>
    <w:rsid w:val="00AF17E7"/>
    <w:rsid w:val="00AF3F50"/>
    <w:rsid w:val="00B2196A"/>
    <w:rsid w:val="00B249E6"/>
    <w:rsid w:val="00B254B4"/>
    <w:rsid w:val="00B53F11"/>
    <w:rsid w:val="00B57331"/>
    <w:rsid w:val="00B750CF"/>
    <w:rsid w:val="00BA47FC"/>
    <w:rsid w:val="00BA5554"/>
    <w:rsid w:val="00BC24F9"/>
    <w:rsid w:val="00BE51FC"/>
    <w:rsid w:val="00BF564E"/>
    <w:rsid w:val="00C00097"/>
    <w:rsid w:val="00C8536C"/>
    <w:rsid w:val="00C915B3"/>
    <w:rsid w:val="00CB3DFA"/>
    <w:rsid w:val="00D07949"/>
    <w:rsid w:val="00D253FD"/>
    <w:rsid w:val="00D32A85"/>
    <w:rsid w:val="00D372F6"/>
    <w:rsid w:val="00D50409"/>
    <w:rsid w:val="00D54FB5"/>
    <w:rsid w:val="00D61147"/>
    <w:rsid w:val="00D66EA0"/>
    <w:rsid w:val="00D76130"/>
    <w:rsid w:val="00D90DFE"/>
    <w:rsid w:val="00D93027"/>
    <w:rsid w:val="00DA485F"/>
    <w:rsid w:val="00DC283E"/>
    <w:rsid w:val="00DC7B98"/>
    <w:rsid w:val="00DE0D6A"/>
    <w:rsid w:val="00E17529"/>
    <w:rsid w:val="00E26BCC"/>
    <w:rsid w:val="00E47FED"/>
    <w:rsid w:val="00E50CBD"/>
    <w:rsid w:val="00E60FCB"/>
    <w:rsid w:val="00E73F48"/>
    <w:rsid w:val="00EA3161"/>
    <w:rsid w:val="00EB76AB"/>
    <w:rsid w:val="00ED566A"/>
    <w:rsid w:val="00F223EC"/>
    <w:rsid w:val="00F26CCA"/>
    <w:rsid w:val="00F41042"/>
    <w:rsid w:val="00F574EC"/>
    <w:rsid w:val="00F65FB1"/>
    <w:rsid w:val="00F7723D"/>
    <w:rsid w:val="00F86A4D"/>
    <w:rsid w:val="00FA2684"/>
    <w:rsid w:val="00FA6CCC"/>
    <w:rsid w:val="00FA6E65"/>
    <w:rsid w:val="00FB083F"/>
    <w:rsid w:val="00FB2329"/>
    <w:rsid w:val="00FB7917"/>
    <w:rsid w:val="00FC2C7B"/>
    <w:rsid w:val="00FE6DD7"/>
    <w:rsid w:val="00FE701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FF419"/>
  <w15:docId w15:val="{B3466C73-D81F-403F-A184-76CDC6C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7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67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6711"/>
    <w:rPr>
      <w:rFonts w:ascii="Arial" w:hAnsi="Arial" w:cs="Arial"/>
      <w:b/>
      <w:bCs/>
      <w:kern w:val="32"/>
      <w:sz w:val="32"/>
      <w:szCs w:val="32"/>
      <w:lang w:eastAsia="uk-UA"/>
    </w:rPr>
  </w:style>
  <w:style w:type="character" w:styleId="a3">
    <w:name w:val="annotation reference"/>
    <w:uiPriority w:val="99"/>
    <w:semiHidden/>
    <w:rsid w:val="00CB3DFA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B3DFA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locked/>
    <w:rsid w:val="00CB3DFA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rsid w:val="00CB3DFA"/>
    <w:rPr>
      <w:b/>
      <w:bCs/>
    </w:rPr>
  </w:style>
  <w:style w:type="character" w:customStyle="1" w:styleId="a7">
    <w:name w:val="Тема примітки Знак"/>
    <w:link w:val="a6"/>
    <w:uiPriority w:val="99"/>
    <w:semiHidden/>
    <w:locked/>
    <w:rsid w:val="00CB3DFA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rsid w:val="00CB3DF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CB3DFA"/>
    <w:rPr>
      <w:rFonts w:ascii="Segoe UI" w:hAnsi="Segoe UI" w:cs="Segoe UI"/>
      <w:sz w:val="18"/>
      <w:szCs w:val="18"/>
      <w:lang w:eastAsia="uk-UA"/>
    </w:rPr>
  </w:style>
  <w:style w:type="table" w:styleId="aa">
    <w:name w:val="Table Grid"/>
    <w:basedOn w:val="a1"/>
    <w:uiPriority w:val="99"/>
    <w:rsid w:val="00A3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200E6A"/>
    <w:pPr>
      <w:tabs>
        <w:tab w:val="left" w:pos="567"/>
        <w:tab w:val="left" w:pos="8222"/>
      </w:tabs>
      <w:ind w:right="-483" w:firstLine="709"/>
      <w:jc w:val="both"/>
    </w:pPr>
    <w:rPr>
      <w:b/>
      <w:sz w:val="28"/>
      <w:szCs w:val="20"/>
      <w:lang w:eastAsia="ru-RU"/>
    </w:rPr>
  </w:style>
  <w:style w:type="character" w:customStyle="1" w:styleId="ac">
    <w:name w:val="Основний текст з відступом Знак"/>
    <w:link w:val="ab"/>
    <w:uiPriority w:val="99"/>
    <w:rsid w:val="00200E6A"/>
    <w:rPr>
      <w:rFonts w:ascii="Times New Roman" w:eastAsia="Times New Roman" w:hAnsi="Times New Roman"/>
      <w:b/>
      <w:sz w:val="2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A2972"/>
    <w:pPr>
      <w:spacing w:after="120"/>
    </w:pPr>
  </w:style>
  <w:style w:type="character" w:customStyle="1" w:styleId="ae">
    <w:name w:val="Основний текст Знак"/>
    <w:link w:val="ad"/>
    <w:uiPriority w:val="99"/>
    <w:semiHidden/>
    <w:rsid w:val="005A2972"/>
    <w:rPr>
      <w:rFonts w:ascii="Times New Roman" w:eastAsia="Times New Roman" w:hAnsi="Times New Roman"/>
      <w:sz w:val="24"/>
      <w:szCs w:val="24"/>
    </w:rPr>
  </w:style>
  <w:style w:type="paragraph" w:customStyle="1" w:styleId="af">
    <w:name w:val="a"/>
    <w:basedOn w:val="a"/>
    <w:uiPriority w:val="99"/>
    <w:rsid w:val="0083688D"/>
    <w:pPr>
      <w:spacing w:before="120"/>
      <w:ind w:firstLine="567"/>
    </w:pPr>
    <w:rPr>
      <w:rFonts w:ascii="Antiqua" w:hAnsi="Antiqua"/>
      <w:sz w:val="26"/>
      <w:szCs w:val="26"/>
      <w:lang w:val="ru-RU" w:eastAsia="ru-RU"/>
    </w:rPr>
  </w:style>
  <w:style w:type="paragraph" w:customStyle="1" w:styleId="2">
    <w:name w:val="Знак Знак2 Знак Знак Знак Знак"/>
    <w:basedOn w:val="a"/>
    <w:rsid w:val="00B750CF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"/>
    <w:basedOn w:val="a"/>
    <w:rsid w:val="0080007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"/>
    <w:basedOn w:val="a"/>
    <w:rsid w:val="002A5C2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1A4F2-ED77-4818-ADD8-30E9B9F6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4487</Words>
  <Characters>2558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T.Gogoci</dc:creator>
  <cp:keywords/>
  <dc:description/>
  <cp:lastModifiedBy>ГОГОЦІ Тамара Вікторівна</cp:lastModifiedBy>
  <cp:revision>4</cp:revision>
  <cp:lastPrinted>2021-01-18T11:05:00Z</cp:lastPrinted>
  <dcterms:created xsi:type="dcterms:W3CDTF">2024-11-05T14:52:00Z</dcterms:created>
  <dcterms:modified xsi:type="dcterms:W3CDTF">2024-11-05T14:54:00Z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1203874646</vt:i4>
  </property>
  <property fmtid="{D5CDD505-2E9C-101B-9397-08002B2CF9AE}" pid="3" name="_NewReviewCycle">
    <vt:lpwstr/>
  </property>
  <property fmtid="{D5CDD505-2E9C-101B-9397-08002B2CF9AE}" pid="4" name="_EmailSubject">
    <vt:lpwstr>Інформація на сайт</vt:lpwstr>
  </property>
  <property fmtid="{D5CDD505-2E9C-101B-9397-08002B2CF9AE}" pid="5" name="_AuthorEmail">
    <vt:lpwstr>t.gogoci@sssu.gov.ua</vt:lpwstr>
  </property>
  <property fmtid="{D5CDD505-2E9C-101B-9397-08002B2CF9AE}" pid="6" name="_AuthorEmailDisplayName">
    <vt:lpwstr>ГОГОЦІ Тамара Вікторівна</vt:lpwstr>
  </property>
  <property fmtid="{D5CDD505-2E9C-101B-9397-08002B2CF9AE}" pid="7" name="_ReviewingToolsShownOnce">
    <vt:lpwstr/>
  </property>
</Properties>
</file>