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6B" w:rsidRPr="00683DD1" w:rsidRDefault="0062176B" w:rsidP="00755505">
      <w:pPr>
        <w:autoSpaceDE w:val="0"/>
        <w:autoSpaceDN w:val="0"/>
        <w:adjustRightInd w:val="0"/>
        <w:jc w:val="right"/>
        <w:rPr>
          <w:bCs/>
          <w:color w:val="000000"/>
          <w:lang w:val="en-GB"/>
        </w:rPr>
      </w:pPr>
    </w:p>
    <w:p w:rsidR="0062176B" w:rsidRPr="003445D6" w:rsidRDefault="0062176B" w:rsidP="00755505">
      <w:pPr>
        <w:autoSpaceDE w:val="0"/>
        <w:autoSpaceDN w:val="0"/>
        <w:adjustRightInd w:val="0"/>
        <w:jc w:val="right"/>
        <w:rPr>
          <w:bCs/>
          <w:color w:val="000000"/>
        </w:rPr>
      </w:pPr>
    </w:p>
    <w:p w:rsidR="00755505" w:rsidRPr="003445D6" w:rsidRDefault="00755505" w:rsidP="00755505">
      <w:pPr>
        <w:autoSpaceDE w:val="0"/>
        <w:autoSpaceDN w:val="0"/>
        <w:adjustRightInd w:val="0"/>
        <w:jc w:val="right"/>
        <w:rPr>
          <w:bCs/>
          <w:color w:val="000000"/>
        </w:rPr>
      </w:pPr>
    </w:p>
    <w:p w:rsidR="00755505" w:rsidRPr="00704833" w:rsidRDefault="00755505" w:rsidP="00755505">
      <w:pPr>
        <w:autoSpaceDE w:val="0"/>
        <w:autoSpaceDN w:val="0"/>
        <w:adjustRightInd w:val="0"/>
        <w:jc w:val="center"/>
        <w:rPr>
          <w:color w:val="000000"/>
        </w:rPr>
      </w:pPr>
      <w:r w:rsidRPr="00704833">
        <w:rPr>
          <w:bCs/>
          <w:color w:val="000000"/>
        </w:rPr>
        <w:t>Державна служба статистики України</w:t>
      </w:r>
    </w:p>
    <w:p w:rsidR="00755505" w:rsidRPr="00704833" w:rsidRDefault="00755505" w:rsidP="00755505">
      <w:pPr>
        <w:autoSpaceDE w:val="0"/>
        <w:autoSpaceDN w:val="0"/>
        <w:adjustRightInd w:val="0"/>
        <w:rPr>
          <w:color w:val="000000"/>
        </w:rPr>
      </w:pPr>
    </w:p>
    <w:p w:rsidR="00755505" w:rsidRPr="00704833"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704833" w:rsidTr="00F5736F">
        <w:trPr>
          <w:trHeight w:val="610"/>
        </w:trPr>
        <w:tc>
          <w:tcPr>
            <w:tcW w:w="4003" w:type="dxa"/>
            <w:tcBorders>
              <w:top w:val="nil"/>
              <w:left w:val="nil"/>
              <w:bottom w:val="nil"/>
              <w:right w:val="nil"/>
            </w:tcBorders>
            <w:hideMark/>
          </w:tcPr>
          <w:p w:rsidR="00755505" w:rsidRPr="00704833" w:rsidRDefault="00755505" w:rsidP="00F5736F">
            <w:pPr>
              <w:autoSpaceDE w:val="0"/>
              <w:autoSpaceDN w:val="0"/>
              <w:adjustRightInd w:val="0"/>
              <w:spacing w:line="360" w:lineRule="auto"/>
              <w:rPr>
                <w:color w:val="000000"/>
              </w:rPr>
            </w:pPr>
            <w:r w:rsidRPr="00704833">
              <w:rPr>
                <w:color w:val="000000"/>
              </w:rPr>
              <w:t>СХВАЛЕНО</w:t>
            </w:r>
          </w:p>
          <w:p w:rsidR="00755505" w:rsidRPr="00704833" w:rsidRDefault="00755505" w:rsidP="00F5736F">
            <w:pPr>
              <w:autoSpaceDE w:val="0"/>
              <w:autoSpaceDN w:val="0"/>
              <w:adjustRightInd w:val="0"/>
              <w:rPr>
                <w:color w:val="000000"/>
              </w:rPr>
            </w:pPr>
            <w:r w:rsidRPr="00704833">
              <w:rPr>
                <w:color w:val="000000"/>
              </w:rPr>
              <w:t>Рішення Комісії з питань</w:t>
            </w:r>
          </w:p>
          <w:p w:rsidR="00755505" w:rsidRPr="00704833" w:rsidRDefault="00755505" w:rsidP="00F5736F">
            <w:pPr>
              <w:autoSpaceDE w:val="0"/>
              <w:autoSpaceDN w:val="0"/>
              <w:adjustRightInd w:val="0"/>
              <w:rPr>
                <w:color w:val="000000"/>
              </w:rPr>
            </w:pPr>
            <w:r w:rsidRPr="00704833">
              <w:rPr>
                <w:color w:val="000000"/>
              </w:rPr>
              <w:t>удосконалення методології</w:t>
            </w:r>
          </w:p>
          <w:p w:rsidR="00755505" w:rsidRPr="00704833" w:rsidRDefault="00755505" w:rsidP="00F5736F">
            <w:pPr>
              <w:autoSpaceDE w:val="0"/>
              <w:autoSpaceDN w:val="0"/>
              <w:adjustRightInd w:val="0"/>
              <w:rPr>
                <w:color w:val="000000"/>
              </w:rPr>
            </w:pPr>
            <w:r w:rsidRPr="00704833">
              <w:rPr>
                <w:color w:val="000000"/>
              </w:rPr>
              <w:t>та звітної документації</w:t>
            </w:r>
          </w:p>
          <w:p w:rsidR="0062587E" w:rsidRDefault="00755505" w:rsidP="0062587E">
            <w:pPr>
              <w:autoSpaceDE w:val="0"/>
              <w:autoSpaceDN w:val="0"/>
              <w:adjustRightInd w:val="0"/>
            </w:pPr>
            <w:r w:rsidRPr="00704833">
              <w:rPr>
                <w:color w:val="000000"/>
              </w:rPr>
              <w:t xml:space="preserve">(протокол </w:t>
            </w:r>
            <w:r w:rsidR="006326B1">
              <w:t xml:space="preserve">від </w:t>
            </w:r>
            <w:r w:rsidR="006326B1">
              <w:rPr>
                <w:lang w:val="en-US"/>
              </w:rPr>
              <w:t>27</w:t>
            </w:r>
            <w:r w:rsidR="0062587E">
              <w:t xml:space="preserve">.12.2024 </w:t>
            </w:r>
          </w:p>
          <w:p w:rsidR="00755505" w:rsidRPr="00704833" w:rsidRDefault="006326B1" w:rsidP="0062587E">
            <w:pPr>
              <w:autoSpaceDE w:val="0"/>
              <w:autoSpaceDN w:val="0"/>
              <w:adjustRightInd w:val="0"/>
              <w:rPr>
                <w:color w:val="000000"/>
              </w:rPr>
            </w:pPr>
            <w:r>
              <w:t xml:space="preserve"> № КПУМ/2</w:t>
            </w:r>
            <w:r>
              <w:rPr>
                <w:lang w:val="en-US"/>
              </w:rPr>
              <w:t>6</w:t>
            </w:r>
            <w:r>
              <w:t>-24)</w:t>
            </w:r>
            <w:r w:rsidR="00755505" w:rsidRPr="004812D7">
              <w:rPr>
                <w:color w:val="FFFFFF" w:themeColor="background1"/>
              </w:rPr>
              <w:t xml:space="preserve">№ </w:t>
            </w:r>
            <w:r w:rsidR="00886F75" w:rsidRPr="004812D7">
              <w:rPr>
                <w:color w:val="FFFFFF" w:themeColor="background1"/>
              </w:rPr>
              <w:t>КПУМ/</w:t>
            </w:r>
            <w:r w:rsidR="00C07F6F" w:rsidRPr="004812D7">
              <w:rPr>
                <w:color w:val="FFFFFF" w:themeColor="background1"/>
              </w:rPr>
              <w:t>1</w:t>
            </w:r>
            <w:r w:rsidR="0062176B" w:rsidRPr="004812D7">
              <w:rPr>
                <w:color w:val="FFFFFF" w:themeColor="background1"/>
              </w:rPr>
              <w:t>0</w:t>
            </w:r>
            <w:r w:rsidR="00886F75" w:rsidRPr="004812D7">
              <w:rPr>
                <w:color w:val="FFFFFF" w:themeColor="background1"/>
              </w:rPr>
              <w:t>-2</w:t>
            </w:r>
            <w:r w:rsidR="009E38D9" w:rsidRPr="004812D7">
              <w:rPr>
                <w:color w:val="FFFFFF" w:themeColor="background1"/>
              </w:rPr>
              <w:t>4</w:t>
            </w:r>
          </w:p>
        </w:tc>
      </w:tr>
    </w:tbl>
    <w:p w:rsidR="00755505" w:rsidRPr="00704833" w:rsidRDefault="00755505" w:rsidP="00755505"/>
    <w:p w:rsidR="00755505" w:rsidRPr="00704833" w:rsidRDefault="00755505" w:rsidP="00755505">
      <w:pPr>
        <w:autoSpaceDE w:val="0"/>
        <w:autoSpaceDN w:val="0"/>
        <w:adjustRightInd w:val="0"/>
        <w:rPr>
          <w:color w:val="000000"/>
        </w:rPr>
      </w:pPr>
    </w:p>
    <w:p w:rsidR="00755505" w:rsidRPr="00704833" w:rsidRDefault="00755505" w:rsidP="00755505">
      <w:pPr>
        <w:autoSpaceDE w:val="0"/>
        <w:autoSpaceDN w:val="0"/>
        <w:adjustRightInd w:val="0"/>
        <w:rPr>
          <w:color w:val="000000"/>
        </w:rPr>
      </w:pPr>
    </w:p>
    <w:p w:rsidR="00755505" w:rsidRPr="00704833" w:rsidRDefault="00755505" w:rsidP="00755505">
      <w:pPr>
        <w:autoSpaceDE w:val="0"/>
        <w:autoSpaceDN w:val="0"/>
        <w:adjustRightInd w:val="0"/>
        <w:rPr>
          <w:color w:val="000000"/>
        </w:rPr>
      </w:pPr>
    </w:p>
    <w:p w:rsidR="00755505" w:rsidRPr="00704833" w:rsidRDefault="00755505" w:rsidP="00755505">
      <w:pPr>
        <w:autoSpaceDE w:val="0"/>
        <w:autoSpaceDN w:val="0"/>
        <w:adjustRightInd w:val="0"/>
        <w:jc w:val="center"/>
        <w:rPr>
          <w:b/>
          <w:bCs/>
          <w:caps/>
        </w:rPr>
      </w:pPr>
      <w:r w:rsidRPr="00704833">
        <w:rPr>
          <w:b/>
          <w:bCs/>
        </w:rPr>
        <w:t xml:space="preserve">СТАНДАРТНИЙ ЗВІТ З ЯКОСТІ </w:t>
      </w:r>
    </w:p>
    <w:p w:rsidR="00755505" w:rsidRPr="00704833" w:rsidRDefault="00755505" w:rsidP="00755505">
      <w:pPr>
        <w:autoSpaceDE w:val="0"/>
        <w:autoSpaceDN w:val="0"/>
        <w:adjustRightInd w:val="0"/>
        <w:jc w:val="center"/>
        <w:rPr>
          <w:b/>
          <w:bCs/>
          <w:caps/>
        </w:rPr>
      </w:pPr>
      <w:r w:rsidRPr="00704833">
        <w:rPr>
          <w:b/>
          <w:color w:val="000000"/>
        </w:rPr>
        <w:t>ДЕРЖАВНОГО СТАТИСТИЧНОГО СПОСТЕРЕЖЕННЯ</w:t>
      </w:r>
    </w:p>
    <w:p w:rsidR="00755505" w:rsidRPr="00704833" w:rsidRDefault="00755505" w:rsidP="00755505">
      <w:pPr>
        <w:autoSpaceDE w:val="0"/>
        <w:autoSpaceDN w:val="0"/>
        <w:adjustRightInd w:val="0"/>
        <w:jc w:val="center"/>
        <w:rPr>
          <w:b/>
          <w:bCs/>
          <w:caps/>
        </w:rPr>
      </w:pPr>
      <w:r w:rsidRPr="00704833">
        <w:rPr>
          <w:b/>
          <w:bCs/>
          <w:caps/>
        </w:rPr>
        <w:t>"</w:t>
      </w:r>
      <w:r w:rsidR="00C474E7" w:rsidRPr="00704833">
        <w:rPr>
          <w:b/>
          <w:bCs/>
          <w:caps/>
        </w:rPr>
        <w:t>зовнішня торгівля послугами</w:t>
      </w:r>
      <w:r w:rsidRPr="00704833">
        <w:rPr>
          <w:b/>
          <w:bCs/>
          <w:caps/>
        </w:rPr>
        <w:t xml:space="preserve">" </w:t>
      </w:r>
    </w:p>
    <w:p w:rsidR="00755505" w:rsidRPr="00704833" w:rsidRDefault="00755505" w:rsidP="00755505">
      <w:pPr>
        <w:autoSpaceDE w:val="0"/>
        <w:autoSpaceDN w:val="0"/>
        <w:adjustRightInd w:val="0"/>
        <w:spacing w:before="120"/>
        <w:jc w:val="center"/>
        <w:rPr>
          <w:b/>
          <w:bCs/>
          <w:caps/>
        </w:rPr>
      </w:pPr>
      <w:r w:rsidRPr="00704833">
        <w:rPr>
          <w:b/>
          <w:color w:val="000000"/>
          <w:spacing w:val="-1"/>
        </w:rPr>
        <w:t>2.0</w:t>
      </w:r>
      <w:r w:rsidR="0062176B" w:rsidRPr="00704833">
        <w:rPr>
          <w:b/>
          <w:color w:val="000000"/>
          <w:spacing w:val="-1"/>
        </w:rPr>
        <w:t>5</w:t>
      </w:r>
      <w:r w:rsidRPr="00704833">
        <w:rPr>
          <w:b/>
          <w:color w:val="000000"/>
          <w:spacing w:val="-1"/>
        </w:rPr>
        <w:t>.0</w:t>
      </w:r>
      <w:r w:rsidR="00C474E7" w:rsidRPr="00704833">
        <w:rPr>
          <w:b/>
          <w:color w:val="000000"/>
          <w:spacing w:val="-1"/>
        </w:rPr>
        <w:t>2</w:t>
      </w:r>
      <w:r w:rsidRPr="00704833">
        <w:rPr>
          <w:b/>
          <w:color w:val="000000"/>
          <w:spacing w:val="-1"/>
        </w:rPr>
        <w:t>.</w:t>
      </w:r>
      <w:r w:rsidR="0062176B" w:rsidRPr="00704833">
        <w:rPr>
          <w:b/>
          <w:color w:val="000000"/>
          <w:spacing w:val="-1"/>
        </w:rPr>
        <w:t>01</w:t>
      </w:r>
    </w:p>
    <w:p w:rsidR="00755505" w:rsidRPr="00704833" w:rsidRDefault="00755505" w:rsidP="00755505">
      <w:pPr>
        <w:jc w:val="center"/>
      </w:pPr>
    </w:p>
    <w:p w:rsidR="00755505" w:rsidRPr="00704833" w:rsidRDefault="00755505" w:rsidP="00755505">
      <w:pPr>
        <w:jc w:val="center"/>
      </w:pPr>
    </w:p>
    <w:p w:rsidR="00755505" w:rsidRPr="00704833" w:rsidRDefault="00755505" w:rsidP="00755505">
      <w:pPr>
        <w:jc w:val="center"/>
      </w:pPr>
    </w:p>
    <w:p w:rsidR="00755505" w:rsidRPr="00704833" w:rsidRDefault="00755505" w:rsidP="00755505">
      <w:pPr>
        <w:jc w:val="cente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p>
    <w:p w:rsidR="00755505" w:rsidRPr="00704833" w:rsidRDefault="00755505" w:rsidP="00755505">
      <w:pPr>
        <w:autoSpaceDE w:val="0"/>
        <w:autoSpaceDN w:val="0"/>
        <w:adjustRightInd w:val="0"/>
        <w:spacing w:before="120"/>
        <w:jc w:val="center"/>
        <w:rPr>
          <w:bCs/>
        </w:rPr>
      </w:pPr>
      <w:r w:rsidRPr="00704833">
        <w:rPr>
          <w:bCs/>
        </w:rPr>
        <w:t>Київ – 202</w:t>
      </w:r>
      <w:r w:rsidR="00381280" w:rsidRPr="00704833">
        <w:rPr>
          <w:bCs/>
        </w:rPr>
        <w:t>4</w:t>
      </w:r>
    </w:p>
    <w:p w:rsidR="00755505" w:rsidRPr="00704833" w:rsidRDefault="00755505" w:rsidP="00755505">
      <w:pPr>
        <w:autoSpaceDE w:val="0"/>
        <w:autoSpaceDN w:val="0"/>
        <w:adjustRightInd w:val="0"/>
        <w:spacing w:before="120"/>
        <w:jc w:val="center"/>
        <w:rPr>
          <w:bCs/>
        </w:rPr>
        <w:sectPr w:rsidR="00755505" w:rsidRPr="00704833" w:rsidSect="00D26284">
          <w:headerReference w:type="default" r:id="rId8"/>
          <w:pgSz w:w="11906" w:h="16838"/>
          <w:pgMar w:top="1134" w:right="567" w:bottom="1134" w:left="1701" w:header="709" w:footer="709" w:gutter="0"/>
          <w:cols w:space="708"/>
          <w:titlePg/>
          <w:docGrid w:linePitch="381"/>
        </w:sect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8647"/>
      </w:tblGrid>
      <w:tr w:rsidR="00755505" w:rsidRPr="00704833" w:rsidTr="00993362">
        <w:trPr>
          <w:trHeight w:val="335"/>
        </w:trPr>
        <w:tc>
          <w:tcPr>
            <w:tcW w:w="5812" w:type="dxa"/>
            <w:shd w:val="clear" w:color="auto" w:fill="auto"/>
          </w:tcPr>
          <w:p w:rsidR="00755505" w:rsidRPr="00704833" w:rsidRDefault="00755505" w:rsidP="00F5736F">
            <w:pPr>
              <w:widowControl w:val="0"/>
              <w:autoSpaceDE w:val="0"/>
              <w:autoSpaceDN w:val="0"/>
              <w:adjustRightInd w:val="0"/>
              <w:jc w:val="center"/>
              <w:rPr>
                <w:highlight w:val="yellow"/>
              </w:rPr>
            </w:pPr>
            <w:r w:rsidRPr="00704833">
              <w:lastRenderedPageBreak/>
              <w:t>Складові звіту з якості з урахуванням SIMS</w:t>
            </w:r>
          </w:p>
        </w:tc>
        <w:tc>
          <w:tcPr>
            <w:tcW w:w="8647" w:type="dxa"/>
            <w:shd w:val="clear" w:color="auto" w:fill="auto"/>
          </w:tcPr>
          <w:p w:rsidR="00755505" w:rsidRPr="00704833" w:rsidRDefault="00755505" w:rsidP="00F5736F">
            <w:pPr>
              <w:widowControl w:val="0"/>
              <w:autoSpaceDE w:val="0"/>
              <w:autoSpaceDN w:val="0"/>
              <w:adjustRightInd w:val="0"/>
              <w:jc w:val="center"/>
            </w:pPr>
            <w:r w:rsidRPr="00704833">
              <w:t>Для заповнення керівником ДСС</w:t>
            </w:r>
          </w:p>
        </w:tc>
      </w:tr>
    </w:tbl>
    <w:p w:rsidR="00755505" w:rsidRPr="00704833" w:rsidRDefault="00755505" w:rsidP="00755505">
      <w:pPr>
        <w:rPr>
          <w:sz w:val="4"/>
          <w:szCs w:val="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8647"/>
      </w:tblGrid>
      <w:tr w:rsidR="00755505" w:rsidRPr="00704833" w:rsidTr="006023BA">
        <w:trPr>
          <w:trHeight w:val="173"/>
          <w:tblHeader/>
        </w:trPr>
        <w:tc>
          <w:tcPr>
            <w:tcW w:w="5812" w:type="dxa"/>
            <w:shd w:val="clear" w:color="auto" w:fill="auto"/>
            <w:vAlign w:val="center"/>
          </w:tcPr>
          <w:p w:rsidR="00755505" w:rsidRPr="00704833" w:rsidRDefault="00755505" w:rsidP="00F5736F">
            <w:pPr>
              <w:jc w:val="center"/>
            </w:pPr>
            <w:r w:rsidRPr="00704833">
              <w:t>1</w:t>
            </w:r>
          </w:p>
        </w:tc>
        <w:tc>
          <w:tcPr>
            <w:tcW w:w="8647" w:type="dxa"/>
            <w:shd w:val="clear" w:color="auto" w:fill="auto"/>
            <w:vAlign w:val="center"/>
          </w:tcPr>
          <w:p w:rsidR="00755505" w:rsidRPr="00704833" w:rsidRDefault="00755505" w:rsidP="00F5736F">
            <w:pPr>
              <w:jc w:val="center"/>
            </w:pPr>
            <w:r w:rsidRPr="00704833">
              <w:t>2</w:t>
            </w:r>
          </w:p>
        </w:tc>
      </w:tr>
      <w:tr w:rsidR="00755505" w:rsidRPr="00704833" w:rsidTr="006023BA">
        <w:trPr>
          <w:trHeight w:val="397"/>
        </w:trPr>
        <w:tc>
          <w:tcPr>
            <w:tcW w:w="14459" w:type="dxa"/>
            <w:gridSpan w:val="2"/>
            <w:shd w:val="clear" w:color="auto" w:fill="auto"/>
          </w:tcPr>
          <w:p w:rsidR="00755505" w:rsidRPr="00704833" w:rsidRDefault="00755505" w:rsidP="00F5736F">
            <w:pPr>
              <w:widowControl w:val="0"/>
              <w:autoSpaceDE w:val="0"/>
              <w:autoSpaceDN w:val="0"/>
              <w:adjustRightInd w:val="0"/>
            </w:pPr>
            <w:r w:rsidRPr="00704833">
              <w:t>S.1. Контакти самостійних структурних підрозділів апарату Держстату з питань даних і метаданих</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S.1.1. Контактна організація</w:t>
            </w:r>
          </w:p>
        </w:tc>
        <w:tc>
          <w:tcPr>
            <w:tcW w:w="8647" w:type="dxa"/>
            <w:shd w:val="clear" w:color="auto" w:fill="auto"/>
          </w:tcPr>
          <w:p w:rsidR="00755505" w:rsidRPr="00704833" w:rsidRDefault="00755505" w:rsidP="00F5736F">
            <w:pPr>
              <w:widowControl w:val="0"/>
              <w:autoSpaceDE w:val="0"/>
              <w:autoSpaceDN w:val="0"/>
              <w:adjustRightInd w:val="0"/>
              <w:ind w:firstLine="430"/>
              <w:jc w:val="both"/>
            </w:pPr>
            <w:r w:rsidRPr="00704833">
              <w:rPr>
                <w:bCs/>
              </w:rPr>
              <w:t>Державна служба статистики України</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S.1.2. Контактний підрозділ в організації</w:t>
            </w:r>
          </w:p>
        </w:tc>
        <w:tc>
          <w:tcPr>
            <w:tcW w:w="8647" w:type="dxa"/>
            <w:shd w:val="clear" w:color="auto" w:fill="auto"/>
          </w:tcPr>
          <w:p w:rsidR="00755505" w:rsidRPr="00704833" w:rsidRDefault="00755505" w:rsidP="00704833">
            <w:pPr>
              <w:ind w:firstLine="454"/>
              <w:jc w:val="both"/>
            </w:pPr>
            <w:r w:rsidRPr="00704833">
              <w:rPr>
                <w:bCs/>
              </w:rPr>
              <w:t xml:space="preserve">Департамент </w:t>
            </w:r>
            <w:r w:rsidR="00591F11" w:rsidRPr="00704833">
              <w:rPr>
                <w:bCs/>
              </w:rPr>
              <w:t xml:space="preserve">статистики </w:t>
            </w:r>
            <w:r w:rsidR="00DF45BC" w:rsidRPr="00704833">
              <w:rPr>
                <w:bCs/>
              </w:rPr>
              <w:t>зовнішньоекономічної діяльності та енергетики</w:t>
            </w:r>
            <w:r w:rsidR="00591F11" w:rsidRPr="00704833">
              <w:rPr>
                <w:bCs/>
              </w:rPr>
              <w:t xml:space="preserve">, відділ </w:t>
            </w:r>
            <w:r w:rsidR="00DF45BC" w:rsidRPr="00704833">
              <w:rPr>
                <w:bCs/>
              </w:rPr>
              <w:t>статистики інвестицій зовнішньоекономічної діяльності</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S.1.3. Власне ім’я, прізвище контактної особи</w:t>
            </w:r>
          </w:p>
        </w:tc>
        <w:tc>
          <w:tcPr>
            <w:tcW w:w="8647" w:type="dxa"/>
            <w:shd w:val="clear" w:color="auto" w:fill="auto"/>
          </w:tcPr>
          <w:p w:rsidR="00591F11" w:rsidRPr="00704833" w:rsidRDefault="00DF45BC" w:rsidP="00591F11">
            <w:pPr>
              <w:ind w:firstLine="454"/>
              <w:jc w:val="both"/>
              <w:rPr>
                <w:bCs/>
              </w:rPr>
            </w:pPr>
            <w:r w:rsidRPr="00704833">
              <w:rPr>
                <w:bCs/>
              </w:rPr>
              <w:t>Валентина Кругляк</w:t>
            </w:r>
          </w:p>
          <w:p w:rsidR="00755505" w:rsidRPr="00704833" w:rsidRDefault="006B2EAC" w:rsidP="00DF45BC">
            <w:pPr>
              <w:widowControl w:val="0"/>
              <w:autoSpaceDE w:val="0"/>
              <w:autoSpaceDN w:val="0"/>
              <w:adjustRightInd w:val="0"/>
              <w:ind w:firstLine="454"/>
              <w:jc w:val="both"/>
            </w:pPr>
            <w:r w:rsidRPr="00704833">
              <w:rPr>
                <w:bCs/>
              </w:rPr>
              <w:t xml:space="preserve">Ольга </w:t>
            </w:r>
            <w:r w:rsidR="00DF45BC" w:rsidRPr="00704833">
              <w:rPr>
                <w:bCs/>
              </w:rPr>
              <w:t>Антонова</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S.1.4. Посада контактної особи</w:t>
            </w:r>
          </w:p>
        </w:tc>
        <w:tc>
          <w:tcPr>
            <w:tcW w:w="8647" w:type="dxa"/>
            <w:shd w:val="clear" w:color="auto" w:fill="auto"/>
          </w:tcPr>
          <w:p w:rsidR="00350351" w:rsidRPr="00704833" w:rsidRDefault="00755505" w:rsidP="00350351">
            <w:pPr>
              <w:ind w:firstLine="454"/>
              <w:rPr>
                <w:bCs/>
              </w:rPr>
            </w:pPr>
            <w:r w:rsidRPr="00704833">
              <w:rPr>
                <w:bCs/>
              </w:rPr>
              <w:t xml:space="preserve">Директор департаменту </w:t>
            </w:r>
            <w:r w:rsidR="00DF45BC" w:rsidRPr="00704833">
              <w:rPr>
                <w:bCs/>
              </w:rPr>
              <w:t>статистики зовнішньоекономічної діяльності та енергетики</w:t>
            </w:r>
            <w:r w:rsidR="00350351" w:rsidRPr="00704833">
              <w:rPr>
                <w:bCs/>
              </w:rPr>
              <w:t>,</w:t>
            </w:r>
          </w:p>
          <w:p w:rsidR="00755505" w:rsidRPr="00704833" w:rsidRDefault="00755505" w:rsidP="00462668">
            <w:pPr>
              <w:widowControl w:val="0"/>
              <w:autoSpaceDE w:val="0"/>
              <w:autoSpaceDN w:val="0"/>
              <w:adjustRightInd w:val="0"/>
              <w:ind w:firstLine="430"/>
              <w:jc w:val="both"/>
            </w:pPr>
            <w:r w:rsidRPr="00704833">
              <w:rPr>
                <w:bCs/>
              </w:rPr>
              <w:t xml:space="preserve">начальник </w:t>
            </w:r>
            <w:r w:rsidR="00841189" w:rsidRPr="00704833">
              <w:rPr>
                <w:bCs/>
              </w:rPr>
              <w:t xml:space="preserve">відділу </w:t>
            </w:r>
            <w:r w:rsidR="00DF45BC" w:rsidRPr="00704833">
              <w:rPr>
                <w:bCs/>
              </w:rPr>
              <w:t>статистики інвестицій зовнішньоекономічної діяльності</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S.1.5. Контактна поштова адреса</w:t>
            </w:r>
          </w:p>
        </w:tc>
        <w:tc>
          <w:tcPr>
            <w:tcW w:w="8647" w:type="dxa"/>
            <w:shd w:val="clear" w:color="auto" w:fill="auto"/>
          </w:tcPr>
          <w:p w:rsidR="00755505" w:rsidRPr="00704833" w:rsidRDefault="00755505" w:rsidP="00F5736F">
            <w:pPr>
              <w:ind w:firstLine="430"/>
              <w:jc w:val="both"/>
              <w:rPr>
                <w:bCs/>
                <w:u w:val="single"/>
              </w:rPr>
            </w:pPr>
            <w:r w:rsidRPr="00704833">
              <w:rPr>
                <w:bCs/>
              </w:rPr>
              <w:t>вул. Ш. Руставелі, 3, м. Київ, 01601, Україна</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S.1.6. Контактна електронна адреса</w:t>
            </w:r>
          </w:p>
        </w:tc>
        <w:tc>
          <w:tcPr>
            <w:tcW w:w="8647" w:type="dxa"/>
            <w:shd w:val="clear" w:color="auto" w:fill="auto"/>
          </w:tcPr>
          <w:p w:rsidR="00DF45BC" w:rsidRPr="00704833" w:rsidRDefault="00043CAC" w:rsidP="00043CAC">
            <w:pPr>
              <w:widowControl w:val="0"/>
              <w:autoSpaceDE w:val="0"/>
              <w:autoSpaceDN w:val="0"/>
              <w:adjustRightInd w:val="0"/>
              <w:ind w:firstLine="430"/>
              <w:jc w:val="both"/>
            </w:pPr>
            <w:r w:rsidRPr="00704833">
              <w:t>v.kruglyak@sssu.gov.ua</w:t>
            </w:r>
          </w:p>
          <w:p w:rsidR="00755505" w:rsidRPr="00704833" w:rsidRDefault="00DF45BC" w:rsidP="00DF45BC">
            <w:pPr>
              <w:widowControl w:val="0"/>
              <w:autoSpaceDE w:val="0"/>
              <w:autoSpaceDN w:val="0"/>
              <w:adjustRightInd w:val="0"/>
              <w:ind w:firstLine="430"/>
              <w:jc w:val="both"/>
            </w:pPr>
            <w:r w:rsidRPr="00704833">
              <w:t>o.antonova@sssu.gov.ua</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S.1.7. Контактний номер телефону</w:t>
            </w:r>
          </w:p>
        </w:tc>
        <w:tc>
          <w:tcPr>
            <w:tcW w:w="8647" w:type="dxa"/>
            <w:shd w:val="clear" w:color="auto" w:fill="auto"/>
          </w:tcPr>
          <w:p w:rsidR="00755505" w:rsidRPr="00704833" w:rsidRDefault="00755505" w:rsidP="00F5736F">
            <w:pPr>
              <w:ind w:firstLine="430"/>
              <w:jc w:val="both"/>
              <w:rPr>
                <w:bCs/>
              </w:rPr>
            </w:pPr>
            <w:r w:rsidRPr="00704833">
              <w:rPr>
                <w:bCs/>
              </w:rPr>
              <w:t>(044) 28</w:t>
            </w:r>
            <w:r w:rsidR="00043CAC" w:rsidRPr="00704833">
              <w:rPr>
                <w:bCs/>
              </w:rPr>
              <w:t>7 65 11</w:t>
            </w:r>
          </w:p>
          <w:p w:rsidR="00755505" w:rsidRPr="00704833" w:rsidRDefault="00755505" w:rsidP="00043CAC">
            <w:pPr>
              <w:widowControl w:val="0"/>
              <w:autoSpaceDE w:val="0"/>
              <w:autoSpaceDN w:val="0"/>
              <w:adjustRightInd w:val="0"/>
              <w:ind w:firstLine="430"/>
              <w:jc w:val="both"/>
            </w:pPr>
            <w:r w:rsidRPr="00704833">
              <w:rPr>
                <w:bCs/>
              </w:rPr>
              <w:t xml:space="preserve">(044) </w:t>
            </w:r>
            <w:r w:rsidR="00043CAC" w:rsidRPr="00704833">
              <w:rPr>
                <w:bCs/>
              </w:rPr>
              <w:t>289 96 45</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S.1.8. Контактний номер факсу</w:t>
            </w:r>
          </w:p>
        </w:tc>
        <w:tc>
          <w:tcPr>
            <w:tcW w:w="8647" w:type="dxa"/>
            <w:shd w:val="clear" w:color="auto" w:fill="auto"/>
          </w:tcPr>
          <w:p w:rsidR="00755505" w:rsidRPr="00704833" w:rsidRDefault="00755505" w:rsidP="00F5736F">
            <w:pPr>
              <w:widowControl w:val="0"/>
              <w:autoSpaceDE w:val="0"/>
              <w:autoSpaceDN w:val="0"/>
              <w:adjustRightInd w:val="0"/>
              <w:ind w:firstLine="430"/>
              <w:jc w:val="both"/>
            </w:pPr>
            <w:r w:rsidRPr="00704833">
              <w:rPr>
                <w:bCs/>
              </w:rPr>
              <w:t xml:space="preserve">(044) 235 37 39 </w:t>
            </w:r>
          </w:p>
        </w:tc>
      </w:tr>
      <w:tr w:rsidR="00755505" w:rsidRPr="00704833" w:rsidTr="006023BA">
        <w:trPr>
          <w:trHeight w:val="284"/>
        </w:trPr>
        <w:tc>
          <w:tcPr>
            <w:tcW w:w="14459" w:type="dxa"/>
            <w:gridSpan w:val="2"/>
            <w:shd w:val="clear" w:color="auto" w:fill="auto"/>
          </w:tcPr>
          <w:p w:rsidR="00755505" w:rsidRPr="00704833" w:rsidRDefault="00755505" w:rsidP="00F5736F">
            <w:pPr>
              <w:widowControl w:val="0"/>
              <w:autoSpaceDE w:val="0"/>
              <w:autoSpaceDN w:val="0"/>
              <w:adjustRightInd w:val="0"/>
            </w:pPr>
            <w:r w:rsidRPr="00704833">
              <w:t>S.2. Оновлення метаданих</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S.2.1. Дата останнього оновлення метаданих</w:t>
            </w:r>
          </w:p>
        </w:tc>
        <w:tc>
          <w:tcPr>
            <w:tcW w:w="8647" w:type="dxa"/>
            <w:shd w:val="clear" w:color="auto" w:fill="auto"/>
          </w:tcPr>
          <w:p w:rsidR="00755505" w:rsidRPr="00182ABE" w:rsidRDefault="00C4004A" w:rsidP="00381280">
            <w:pPr>
              <w:ind w:firstLine="430"/>
              <w:jc w:val="both"/>
              <w:rPr>
                <w:strike/>
              </w:rPr>
            </w:pPr>
            <w:r w:rsidRPr="00182ABE">
              <w:t>25 грудня 2023 року</w:t>
            </w:r>
          </w:p>
        </w:tc>
      </w:tr>
      <w:tr w:rsidR="00755505" w:rsidRPr="00704833" w:rsidTr="006023BA">
        <w:trPr>
          <w:trHeight w:val="397"/>
        </w:trPr>
        <w:tc>
          <w:tcPr>
            <w:tcW w:w="5812" w:type="dxa"/>
            <w:shd w:val="clear" w:color="auto" w:fill="auto"/>
          </w:tcPr>
          <w:p w:rsidR="00755505" w:rsidRPr="00704833" w:rsidRDefault="00755505" w:rsidP="00F5736F">
            <w:pPr>
              <w:widowControl w:val="0"/>
              <w:autoSpaceDE w:val="0"/>
              <w:autoSpaceDN w:val="0"/>
              <w:adjustRightInd w:val="0"/>
            </w:pPr>
            <w:r w:rsidRPr="00704833">
              <w:t>S.2.2. Дата останнього розміщення метаданих</w:t>
            </w:r>
          </w:p>
        </w:tc>
        <w:tc>
          <w:tcPr>
            <w:tcW w:w="8647" w:type="dxa"/>
            <w:shd w:val="clear" w:color="auto" w:fill="auto"/>
          </w:tcPr>
          <w:p w:rsidR="00755505" w:rsidRPr="00182ABE" w:rsidRDefault="00C4004A" w:rsidP="00381280">
            <w:pPr>
              <w:ind w:firstLine="430"/>
              <w:jc w:val="both"/>
            </w:pPr>
            <w:r w:rsidRPr="00182ABE">
              <w:t>25 грудня 2023 року</w:t>
            </w:r>
          </w:p>
        </w:tc>
      </w:tr>
      <w:tr w:rsidR="00755505" w:rsidRPr="00704833" w:rsidTr="006023BA">
        <w:trPr>
          <w:trHeight w:val="397"/>
        </w:trPr>
        <w:tc>
          <w:tcPr>
            <w:tcW w:w="5812" w:type="dxa"/>
            <w:shd w:val="clear" w:color="auto" w:fill="auto"/>
          </w:tcPr>
          <w:p w:rsidR="00B54E69" w:rsidRPr="00704833" w:rsidRDefault="00755505" w:rsidP="00B54E69">
            <w:pPr>
              <w:widowControl w:val="0"/>
              <w:autoSpaceDE w:val="0"/>
              <w:autoSpaceDN w:val="0"/>
              <w:adjustRightInd w:val="0"/>
            </w:pPr>
            <w:r w:rsidRPr="00704833">
              <w:t>S.2.3. Дата останнього оновлення вмісту метаданих</w:t>
            </w:r>
          </w:p>
        </w:tc>
        <w:tc>
          <w:tcPr>
            <w:tcW w:w="8647" w:type="dxa"/>
            <w:shd w:val="clear" w:color="auto" w:fill="auto"/>
          </w:tcPr>
          <w:p w:rsidR="00755505" w:rsidRPr="00182ABE" w:rsidRDefault="00C4004A" w:rsidP="00381280">
            <w:pPr>
              <w:ind w:firstLine="430"/>
              <w:jc w:val="both"/>
            </w:pPr>
            <w:r w:rsidRPr="00182ABE">
              <w:t>25 грудня 2023 року</w:t>
            </w:r>
          </w:p>
        </w:tc>
      </w:tr>
      <w:tr w:rsidR="00755505" w:rsidRPr="00704833" w:rsidTr="006023BA">
        <w:tc>
          <w:tcPr>
            <w:tcW w:w="14459" w:type="dxa"/>
            <w:gridSpan w:val="2"/>
            <w:shd w:val="clear" w:color="auto" w:fill="auto"/>
          </w:tcPr>
          <w:p w:rsidR="00755505" w:rsidRPr="00704833" w:rsidRDefault="00755505" w:rsidP="00F5736F">
            <w:pPr>
              <w:widowControl w:val="0"/>
              <w:autoSpaceDE w:val="0"/>
              <w:autoSpaceDN w:val="0"/>
              <w:adjustRightInd w:val="0"/>
            </w:pPr>
            <w:r w:rsidRPr="00704833">
              <w:t>S.3. Статистичне представлення</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S.3.1. Опис даних</w:t>
            </w:r>
          </w:p>
        </w:tc>
        <w:tc>
          <w:tcPr>
            <w:tcW w:w="8647" w:type="dxa"/>
            <w:shd w:val="clear" w:color="auto" w:fill="auto"/>
          </w:tcPr>
          <w:p w:rsidR="002F60F7" w:rsidRPr="005F638A" w:rsidRDefault="00D26FBC" w:rsidP="00335941">
            <w:pPr>
              <w:ind w:firstLine="430"/>
              <w:jc w:val="both"/>
            </w:pPr>
            <w:r w:rsidRPr="005F638A">
              <w:t xml:space="preserve">Метою проведення </w:t>
            </w:r>
            <w:r w:rsidR="00941E38" w:rsidRPr="005F638A">
              <w:rPr>
                <w:color w:val="000000" w:themeColor="text1"/>
              </w:rPr>
              <w:t xml:space="preserve">державного статистичного спостереження "Зовнішня торгівля послугами" (далі – ДСС, статистичне </w:t>
            </w:r>
            <w:r w:rsidR="00B73000">
              <w:rPr>
                <w:color w:val="000000" w:themeColor="text1"/>
              </w:rPr>
              <w:lastRenderedPageBreak/>
              <w:t>спостереження)</w:t>
            </w:r>
            <w:bookmarkStart w:id="0" w:name="_GoBack"/>
            <w:bookmarkEnd w:id="0"/>
            <w:r w:rsidRPr="005F638A">
              <w:t xml:space="preserve"> є формування інформації про </w:t>
            </w:r>
            <w:r w:rsidR="00C474E7" w:rsidRPr="005F638A">
              <w:t xml:space="preserve">експорт-імпорт послуг </w:t>
            </w:r>
            <w:r w:rsidRPr="005F638A">
              <w:t xml:space="preserve">для </w:t>
            </w:r>
            <w:r w:rsidR="00C474E7" w:rsidRPr="005F638A">
              <w:t xml:space="preserve">потреб складання зовнішньоторговельного та платіжного балансів України, оцінки розвитку економічних взаємовідносин України з іншими країнами світу. </w:t>
            </w:r>
          </w:p>
          <w:p w:rsidR="00207C88" w:rsidRPr="005F638A" w:rsidRDefault="00B12BB9" w:rsidP="00335941">
            <w:pPr>
              <w:ind w:firstLine="430"/>
              <w:jc w:val="both"/>
            </w:pPr>
            <w:r w:rsidRPr="005F638A">
              <w:t xml:space="preserve">Для </w:t>
            </w:r>
            <w:r w:rsidR="00E329E1" w:rsidRPr="005F638A">
              <w:t xml:space="preserve">цього </w:t>
            </w:r>
            <w:r w:rsidRPr="005F638A">
              <w:t>у</w:t>
            </w:r>
            <w:r w:rsidR="00D26FBC" w:rsidRPr="005F638A">
              <w:t xml:space="preserve"> межах ДСС формуються </w:t>
            </w:r>
            <w:r w:rsidR="00704833" w:rsidRPr="005F638A">
              <w:t xml:space="preserve">наступні </w:t>
            </w:r>
            <w:r w:rsidR="00D26FBC" w:rsidRPr="005F638A">
              <w:t>показники</w:t>
            </w:r>
            <w:r w:rsidR="00207C88" w:rsidRPr="005F638A">
              <w:t>:</w:t>
            </w:r>
          </w:p>
          <w:p w:rsidR="00907EB5" w:rsidRPr="005F638A" w:rsidRDefault="00704833" w:rsidP="00335941">
            <w:pPr>
              <w:ind w:firstLine="430"/>
              <w:jc w:val="both"/>
            </w:pPr>
            <w:r w:rsidRPr="005F638A">
              <w:t>е</w:t>
            </w:r>
            <w:r w:rsidR="00C474E7" w:rsidRPr="005F638A">
              <w:t>кспортпослуг</w:t>
            </w:r>
            <w:r w:rsidR="000D35E1" w:rsidRPr="005F638A">
              <w:t>;</w:t>
            </w:r>
          </w:p>
          <w:p w:rsidR="000D35E1" w:rsidRPr="005F638A" w:rsidRDefault="000D35E1" w:rsidP="00335941">
            <w:pPr>
              <w:ind w:firstLine="430"/>
              <w:jc w:val="both"/>
            </w:pPr>
            <w:r w:rsidRPr="005F638A">
              <w:t>імпорт послуг;</w:t>
            </w:r>
          </w:p>
          <w:p w:rsidR="000D35E1" w:rsidRPr="005F638A" w:rsidRDefault="000D35E1" w:rsidP="000D35E1">
            <w:pPr>
              <w:ind w:firstLine="430"/>
              <w:jc w:val="both"/>
            </w:pPr>
            <w:r w:rsidRPr="005F638A">
              <w:t>сальдо послуг;</w:t>
            </w:r>
          </w:p>
          <w:p w:rsidR="000D35E1" w:rsidRPr="005F638A" w:rsidRDefault="000D35E1" w:rsidP="000D35E1">
            <w:pPr>
              <w:ind w:firstLine="430"/>
              <w:jc w:val="both"/>
            </w:pPr>
            <w:r w:rsidRPr="005F638A">
              <w:t>темп зростання/зниження експорту-імпорту послуг</w:t>
            </w:r>
            <w:r w:rsidR="0081286C" w:rsidRPr="005F638A">
              <w:t xml:space="preserve"> до відповідного періоду попереднього року</w:t>
            </w:r>
            <w:r w:rsidRPr="005F638A">
              <w:t>;</w:t>
            </w:r>
          </w:p>
          <w:p w:rsidR="000D35E1" w:rsidRPr="005F638A" w:rsidRDefault="000D35E1" w:rsidP="000D35E1">
            <w:pPr>
              <w:ind w:firstLine="430"/>
              <w:jc w:val="both"/>
            </w:pPr>
            <w:r w:rsidRPr="005F638A">
              <w:t xml:space="preserve">питома вага експорту-імпорту послуг; </w:t>
            </w:r>
          </w:p>
          <w:p w:rsidR="000D35E1" w:rsidRPr="00704833" w:rsidRDefault="000D35E1" w:rsidP="000D35E1">
            <w:pPr>
              <w:ind w:firstLine="430"/>
              <w:jc w:val="both"/>
            </w:pPr>
            <w:r w:rsidRPr="005F638A">
              <w:t>коефіцієнт покриття експортом імпорту послуг.</w:t>
            </w:r>
          </w:p>
        </w:tc>
      </w:tr>
      <w:tr w:rsidR="00755505" w:rsidRPr="00704833" w:rsidTr="006023BA">
        <w:trPr>
          <w:trHeight w:val="2322"/>
        </w:trPr>
        <w:tc>
          <w:tcPr>
            <w:tcW w:w="5812" w:type="dxa"/>
            <w:shd w:val="clear" w:color="auto" w:fill="auto"/>
          </w:tcPr>
          <w:p w:rsidR="00755505" w:rsidRPr="00704833" w:rsidRDefault="00034A26" w:rsidP="00F5736F">
            <w:pPr>
              <w:widowControl w:val="0"/>
              <w:autoSpaceDE w:val="0"/>
              <w:autoSpaceDN w:val="0"/>
              <w:adjustRightInd w:val="0"/>
            </w:pPr>
            <w:r w:rsidRPr="00704833">
              <w:lastRenderedPageBreak/>
              <w:t>S.3.2</w:t>
            </w:r>
            <w:r w:rsidR="005756B5" w:rsidRPr="00704833">
              <w:t xml:space="preserve"> Класифікатори (класифікації) та стандарти</w:t>
            </w:r>
          </w:p>
        </w:tc>
        <w:tc>
          <w:tcPr>
            <w:tcW w:w="8647" w:type="dxa"/>
            <w:shd w:val="clear" w:color="auto" w:fill="auto"/>
          </w:tcPr>
          <w:p w:rsidR="00755505" w:rsidRPr="00704833" w:rsidRDefault="00755505" w:rsidP="00F312AE">
            <w:pPr>
              <w:ind w:firstLine="458"/>
              <w:jc w:val="both"/>
            </w:pPr>
            <w:r w:rsidRPr="00704833">
              <w:t>При проведенні ДСС використов</w:t>
            </w:r>
            <w:r w:rsidRPr="005F638A">
              <w:t>у</w:t>
            </w:r>
            <w:r w:rsidR="00941E38" w:rsidRPr="005F638A">
              <w:t>ю</w:t>
            </w:r>
            <w:r w:rsidR="00965C0A" w:rsidRPr="00704833">
              <w:t>ться</w:t>
            </w:r>
            <w:r w:rsidR="00C975EB" w:rsidRPr="00704833">
              <w:t>:</w:t>
            </w:r>
          </w:p>
          <w:p w:rsidR="00335941" w:rsidRPr="00704833" w:rsidRDefault="00335941" w:rsidP="00335941">
            <w:pPr>
              <w:pStyle w:val="paragraph"/>
              <w:spacing w:before="0" w:beforeAutospacing="0" w:after="0" w:afterAutospacing="0"/>
              <w:textAlignment w:val="baseline"/>
              <w:rPr>
                <w:sz w:val="28"/>
                <w:szCs w:val="28"/>
              </w:rPr>
            </w:pPr>
            <w:r w:rsidRPr="00704833">
              <w:rPr>
                <w:sz w:val="28"/>
                <w:szCs w:val="28"/>
              </w:rPr>
              <w:t>Кодифікатор адміністративно-територіальних одиниць та територій територіальних громад (КАТОТТГ)</w:t>
            </w:r>
          </w:p>
          <w:p w:rsidR="00335941" w:rsidRPr="00704833" w:rsidRDefault="00B73000" w:rsidP="009F0FE9">
            <w:pPr>
              <w:pStyle w:val="paragraph"/>
              <w:spacing w:before="0" w:beforeAutospacing="0" w:after="0" w:afterAutospacing="0"/>
              <w:ind w:firstLine="464"/>
              <w:textAlignment w:val="baseline"/>
              <w:rPr>
                <w:sz w:val="28"/>
                <w:szCs w:val="28"/>
              </w:rPr>
            </w:pPr>
            <w:hyperlink r:id="rId9" w:tgtFrame="_blank" w:history="1">
              <w:r w:rsidR="00335941" w:rsidRPr="00704833">
                <w:rPr>
                  <w:sz w:val="28"/>
                  <w:szCs w:val="28"/>
                </w:rPr>
                <w:t>https://mtu.gov.ua/content/kodifikator-administrativnoteritorialnih-odinic-ta-teritoriy-teritorialnih-gromad.html</w:t>
              </w:r>
            </w:hyperlink>
            <w:r w:rsidR="00F375DA" w:rsidRPr="00704833">
              <w:rPr>
                <w:sz w:val="28"/>
                <w:szCs w:val="28"/>
              </w:rPr>
              <w:t xml:space="preserve">, </w:t>
            </w:r>
          </w:p>
          <w:p w:rsidR="00335941" w:rsidRPr="00704833" w:rsidRDefault="00335941" w:rsidP="00335941">
            <w:pPr>
              <w:pStyle w:val="paragraph"/>
              <w:spacing w:before="0" w:beforeAutospacing="0" w:after="0" w:afterAutospacing="0"/>
              <w:textAlignment w:val="baseline"/>
              <w:rPr>
                <w:sz w:val="28"/>
                <w:szCs w:val="28"/>
              </w:rPr>
            </w:pPr>
            <w:r w:rsidRPr="00704833">
              <w:rPr>
                <w:sz w:val="28"/>
                <w:szCs w:val="28"/>
              </w:rPr>
              <w:t>Класифікація видів економічної діяльності(КВЕД)</w:t>
            </w:r>
          </w:p>
          <w:p w:rsidR="00335941" w:rsidRPr="00704833" w:rsidRDefault="00335941" w:rsidP="009F0FE9">
            <w:pPr>
              <w:pStyle w:val="paragraph"/>
              <w:spacing w:before="0" w:beforeAutospacing="0" w:after="0" w:afterAutospacing="0"/>
              <w:ind w:firstLine="464"/>
              <w:textAlignment w:val="baseline"/>
              <w:rPr>
                <w:sz w:val="28"/>
                <w:szCs w:val="28"/>
              </w:rPr>
            </w:pPr>
            <w:r w:rsidRPr="00704833">
              <w:rPr>
                <w:sz w:val="28"/>
                <w:szCs w:val="28"/>
              </w:rPr>
              <w:t>https://www.ukrstat.gov.ua/klasf/nac_kls/dc_009.pdf </w:t>
            </w:r>
            <w:r w:rsidR="00F375DA" w:rsidRPr="00704833">
              <w:rPr>
                <w:sz w:val="28"/>
                <w:szCs w:val="28"/>
              </w:rPr>
              <w:t xml:space="preserve">, </w:t>
            </w:r>
          </w:p>
          <w:p w:rsidR="00822186" w:rsidRPr="00704833" w:rsidRDefault="00396E10" w:rsidP="00335941">
            <w:pPr>
              <w:pStyle w:val="paragraph"/>
              <w:spacing w:before="0" w:beforeAutospacing="0" w:after="0" w:afterAutospacing="0"/>
              <w:textAlignment w:val="baseline"/>
              <w:rPr>
                <w:sz w:val="28"/>
                <w:szCs w:val="28"/>
              </w:rPr>
            </w:pPr>
            <w:r w:rsidRPr="00704833">
              <w:rPr>
                <w:sz w:val="28"/>
                <w:szCs w:val="28"/>
              </w:rPr>
              <w:t>Класифікацію інституційних секторів економіки (КІСЕ)</w:t>
            </w:r>
          </w:p>
          <w:p w:rsidR="00335941" w:rsidRPr="00704833" w:rsidRDefault="00B73000" w:rsidP="009F0FE9">
            <w:pPr>
              <w:pStyle w:val="paragraph"/>
              <w:spacing w:before="0" w:beforeAutospacing="0" w:after="0" w:afterAutospacing="0"/>
              <w:ind w:firstLine="464"/>
              <w:textAlignment w:val="baseline"/>
              <w:rPr>
                <w:sz w:val="28"/>
                <w:szCs w:val="28"/>
              </w:rPr>
            </w:pPr>
            <w:hyperlink r:id="rId10" w:history="1">
              <w:r w:rsidR="005B7436" w:rsidRPr="00704833">
                <w:rPr>
                  <w:rStyle w:val="a3"/>
                  <w:color w:val="auto"/>
                  <w:sz w:val="28"/>
                  <w:szCs w:val="28"/>
                  <w:u w:val="none"/>
                </w:rPr>
                <w:t>https://ukrstat.gov.ua/klasf/st_kls/op_kise_2016.htm</w:t>
              </w:r>
            </w:hyperlink>
            <w:r w:rsidR="005B7436" w:rsidRPr="00704833">
              <w:rPr>
                <w:sz w:val="28"/>
                <w:szCs w:val="28"/>
              </w:rPr>
              <w:t>,</w:t>
            </w:r>
          </w:p>
          <w:p w:rsidR="00FE67D5" w:rsidRPr="00704833" w:rsidRDefault="00FE67D5" w:rsidP="00FE67D5">
            <w:pPr>
              <w:pStyle w:val="paragraph"/>
              <w:spacing w:before="0" w:beforeAutospacing="0" w:after="0" w:afterAutospacing="0"/>
              <w:textAlignment w:val="baseline"/>
              <w:rPr>
                <w:sz w:val="28"/>
                <w:szCs w:val="28"/>
              </w:rPr>
            </w:pPr>
            <w:r w:rsidRPr="00704833">
              <w:rPr>
                <w:sz w:val="28"/>
                <w:szCs w:val="28"/>
              </w:rPr>
              <w:t>Класифікація зовнішньоекономічних послуг (КЗЕП)</w:t>
            </w:r>
          </w:p>
          <w:p w:rsidR="00FE67D5" w:rsidRPr="00704833" w:rsidRDefault="00B73000" w:rsidP="00FE67D5">
            <w:pPr>
              <w:pStyle w:val="paragraph"/>
              <w:spacing w:before="0" w:beforeAutospacing="0" w:after="0" w:afterAutospacing="0"/>
              <w:ind w:firstLine="464"/>
              <w:textAlignment w:val="baseline"/>
              <w:rPr>
                <w:rStyle w:val="a3"/>
                <w:color w:val="auto"/>
                <w:sz w:val="28"/>
                <w:szCs w:val="28"/>
                <w:u w:val="none"/>
              </w:rPr>
            </w:pPr>
            <w:hyperlink r:id="rId11" w:history="1">
              <w:r w:rsidR="00FE67D5" w:rsidRPr="00704833">
                <w:rPr>
                  <w:rStyle w:val="a3"/>
                  <w:color w:val="auto"/>
                  <w:sz w:val="28"/>
                  <w:szCs w:val="28"/>
                  <w:u w:val="none"/>
                </w:rPr>
                <w:t>https://www.ukrstat.gov.ua/klasf/st_kls/op_kzep_2016.htm</w:t>
              </w:r>
            </w:hyperlink>
            <w:r w:rsidR="00FE67D5" w:rsidRPr="00704833">
              <w:rPr>
                <w:rStyle w:val="a3"/>
                <w:color w:val="auto"/>
                <w:sz w:val="28"/>
                <w:szCs w:val="28"/>
                <w:u w:val="none"/>
              </w:rPr>
              <w:t>,</w:t>
            </w:r>
          </w:p>
          <w:p w:rsidR="00FE67D5" w:rsidRPr="00704833" w:rsidRDefault="00EE6BC3" w:rsidP="00FE67D5">
            <w:pPr>
              <w:pStyle w:val="paragraph"/>
              <w:spacing w:before="0" w:beforeAutospacing="0" w:after="0" w:afterAutospacing="0"/>
              <w:textAlignment w:val="baseline"/>
              <w:rPr>
                <w:rStyle w:val="a3"/>
                <w:color w:val="auto"/>
                <w:sz w:val="28"/>
                <w:szCs w:val="28"/>
                <w:u w:val="none"/>
              </w:rPr>
            </w:pPr>
            <w:r w:rsidRPr="00704833">
              <w:rPr>
                <w:rStyle w:val="a3"/>
                <w:color w:val="auto"/>
                <w:sz w:val="28"/>
                <w:szCs w:val="28"/>
                <w:u w:val="none"/>
              </w:rPr>
              <w:t>П</w:t>
            </w:r>
            <w:r w:rsidR="00FE67D5" w:rsidRPr="00704833">
              <w:rPr>
                <w:rStyle w:val="a3"/>
                <w:color w:val="auto"/>
                <w:sz w:val="28"/>
                <w:szCs w:val="28"/>
                <w:u w:val="none"/>
              </w:rPr>
              <w:t>ерелік кодів валют для статистичних цілей</w:t>
            </w:r>
            <w:r w:rsidRPr="00704833">
              <w:rPr>
                <w:rStyle w:val="a3"/>
                <w:color w:val="auto"/>
                <w:sz w:val="28"/>
                <w:szCs w:val="28"/>
                <w:u w:val="none"/>
              </w:rPr>
              <w:t xml:space="preserve"> (ПКВ)</w:t>
            </w:r>
          </w:p>
          <w:p w:rsidR="00EE6BC3" w:rsidRPr="00704833" w:rsidRDefault="00EE6BC3" w:rsidP="00EE6BC3">
            <w:pPr>
              <w:pStyle w:val="paragraph"/>
              <w:spacing w:before="0" w:beforeAutospacing="0" w:after="0" w:afterAutospacing="0"/>
              <w:ind w:firstLine="464"/>
              <w:textAlignment w:val="baseline"/>
              <w:rPr>
                <w:rStyle w:val="a3"/>
                <w:color w:val="auto"/>
                <w:sz w:val="28"/>
                <w:szCs w:val="28"/>
                <w:u w:val="none"/>
              </w:rPr>
            </w:pPr>
            <w:r w:rsidRPr="00704833">
              <w:rPr>
                <w:rStyle w:val="a3"/>
                <w:color w:val="auto"/>
                <w:sz w:val="28"/>
                <w:szCs w:val="28"/>
                <w:u w:val="none"/>
              </w:rPr>
              <w:t>https://www.ukrstat.gov.ua/klasf/st_kls/PKV.zip,</w:t>
            </w:r>
          </w:p>
          <w:p w:rsidR="00335941" w:rsidRPr="00704833" w:rsidRDefault="00335941" w:rsidP="00335941">
            <w:pPr>
              <w:pStyle w:val="paragraph"/>
              <w:spacing w:before="0" w:beforeAutospacing="0" w:after="0" w:afterAutospacing="0"/>
              <w:textAlignment w:val="baseline"/>
              <w:rPr>
                <w:sz w:val="28"/>
                <w:szCs w:val="28"/>
              </w:rPr>
            </w:pPr>
            <w:r w:rsidRPr="00704833">
              <w:rPr>
                <w:sz w:val="28"/>
                <w:szCs w:val="28"/>
              </w:rPr>
              <w:t>Перелік кодів країн світу для статистичних цілей (ПККС) </w:t>
            </w:r>
          </w:p>
          <w:p w:rsidR="00D8656B" w:rsidRPr="00704833" w:rsidRDefault="00335941" w:rsidP="009F0FE9">
            <w:pPr>
              <w:pStyle w:val="paragraph"/>
              <w:spacing w:before="0" w:beforeAutospacing="0" w:after="0" w:afterAutospacing="0"/>
              <w:ind w:firstLine="464"/>
              <w:textAlignment w:val="baseline"/>
            </w:pPr>
            <w:r w:rsidRPr="00704833">
              <w:rPr>
                <w:sz w:val="28"/>
                <w:szCs w:val="28"/>
              </w:rPr>
              <w:t>https://www.ukrstat.gov.ua/klasf/st_kls/PKKS.zip</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S.3.3. Сектор охоплення</w:t>
            </w:r>
          </w:p>
        </w:tc>
        <w:tc>
          <w:tcPr>
            <w:tcW w:w="8647" w:type="dxa"/>
            <w:shd w:val="clear" w:color="auto" w:fill="auto"/>
          </w:tcPr>
          <w:p w:rsidR="00596E17" w:rsidRPr="00704833" w:rsidRDefault="00914F2B" w:rsidP="00D8656B">
            <w:pPr>
              <w:pStyle w:val="a7"/>
              <w:spacing w:before="0" w:beforeAutospacing="0" w:after="0" w:afterAutospacing="0"/>
              <w:ind w:firstLine="458"/>
              <w:jc w:val="both"/>
              <w:rPr>
                <w:sz w:val="28"/>
                <w:szCs w:val="28"/>
                <w:lang w:val="uk-UA" w:eastAsia="uk-UA"/>
              </w:rPr>
            </w:pPr>
            <w:r w:rsidRPr="00704833">
              <w:rPr>
                <w:sz w:val="28"/>
                <w:szCs w:val="28"/>
                <w:lang w:val="uk-UA" w:eastAsia="uk-UA"/>
              </w:rPr>
              <w:t>Спостереження охоплює</w:t>
            </w:r>
            <w:r w:rsidR="00596E17" w:rsidRPr="00704833">
              <w:rPr>
                <w:sz w:val="28"/>
                <w:szCs w:val="28"/>
                <w:lang w:val="uk-UA" w:eastAsia="uk-UA"/>
              </w:rPr>
              <w:t xml:space="preserve">:юридичних осіб-резидентів України, що </w:t>
            </w:r>
            <w:r w:rsidR="00EE6BC3" w:rsidRPr="00704833">
              <w:rPr>
                <w:sz w:val="28"/>
                <w:szCs w:val="28"/>
                <w:lang w:val="uk-UA"/>
              </w:rPr>
              <w:lastRenderedPageBreak/>
              <w:t xml:space="preserve">здійснюють експортно-імпортні операції послугами, уключаючи тих, які отримали від </w:t>
            </w:r>
            <w:proofErr w:type="spellStart"/>
            <w:r w:rsidR="00EE6BC3" w:rsidRPr="00704833">
              <w:rPr>
                <w:sz w:val="28"/>
                <w:szCs w:val="28"/>
                <w:lang w:val="uk-UA"/>
              </w:rPr>
              <w:t>Держекспортконтролю</w:t>
            </w:r>
            <w:proofErr w:type="spellEnd"/>
            <w:r w:rsidR="00EE6BC3" w:rsidRPr="00704833">
              <w:rPr>
                <w:sz w:val="28"/>
                <w:szCs w:val="28"/>
                <w:lang w:val="uk-UA"/>
              </w:rPr>
              <w:t xml:space="preserve"> дозволи на здійснення експорту/імпорту товарів (послуг) військового призначення та подвійного використання, а також представництва іноземної юридичної особи в Україні.</w:t>
            </w:r>
          </w:p>
          <w:p w:rsidR="00941E38" w:rsidRPr="005F638A" w:rsidRDefault="00941E38" w:rsidP="00941E38">
            <w:pPr>
              <w:pStyle w:val="a7"/>
              <w:spacing w:before="0" w:beforeAutospacing="0" w:after="0" w:afterAutospacing="0"/>
              <w:ind w:firstLine="462"/>
              <w:jc w:val="both"/>
              <w:rPr>
                <w:color w:val="000000"/>
                <w:sz w:val="28"/>
                <w:szCs w:val="28"/>
                <w:lang w:val="uk-UA"/>
              </w:rPr>
            </w:pPr>
            <w:r w:rsidRPr="005F638A">
              <w:rPr>
                <w:color w:val="000000"/>
                <w:sz w:val="28"/>
                <w:szCs w:val="28"/>
                <w:lang w:val="uk-UA"/>
              </w:rPr>
              <w:t>Генеральна сукупність одиниць статистичного спостереження</w:t>
            </w:r>
            <w:r w:rsidRPr="005F638A">
              <w:rPr>
                <w:color w:val="000000"/>
                <w:sz w:val="28"/>
                <w:szCs w:val="28"/>
                <w:lang w:val="uk-UA"/>
              </w:rPr>
              <w:br/>
              <w:t xml:space="preserve">за </w:t>
            </w:r>
            <w:r w:rsidRPr="005F638A">
              <w:rPr>
                <w:sz w:val="28"/>
                <w:szCs w:val="28"/>
                <w:lang w:val="uk-UA"/>
              </w:rPr>
              <w:t xml:space="preserve">формою № 9-ЗЕЗ (квартальна) "Звіт про експорт (імпорт) послуг" (далі – форма № </w:t>
            </w:r>
            <w:r w:rsidR="00F37865" w:rsidRPr="005F638A">
              <w:rPr>
                <w:sz w:val="28"/>
                <w:szCs w:val="28"/>
                <w:lang w:val="uk-UA"/>
              </w:rPr>
              <w:t>9</w:t>
            </w:r>
            <w:r w:rsidRPr="005F638A">
              <w:rPr>
                <w:sz w:val="28"/>
                <w:szCs w:val="28"/>
                <w:lang w:val="uk-UA"/>
              </w:rPr>
              <w:t>-ЗЕЗ (квартальна)</w:t>
            </w:r>
            <w:r w:rsidR="006326B1">
              <w:rPr>
                <w:sz w:val="28"/>
                <w:szCs w:val="28"/>
                <w:lang w:val="en-US"/>
              </w:rPr>
              <w:t xml:space="preserve"> </w:t>
            </w:r>
            <w:r w:rsidRPr="005F638A">
              <w:rPr>
                <w:sz w:val="28"/>
                <w:szCs w:val="28"/>
                <w:lang w:val="uk-UA"/>
              </w:rPr>
              <w:t>формується на основі реєстру статистичних одиниць за такими критеріями:</w:t>
            </w:r>
          </w:p>
          <w:p w:rsidR="00D8656B" w:rsidRPr="00704833" w:rsidRDefault="00D8656B" w:rsidP="00D8656B">
            <w:pPr>
              <w:pStyle w:val="a7"/>
              <w:spacing w:before="0" w:beforeAutospacing="0" w:after="0" w:afterAutospacing="0"/>
              <w:ind w:firstLine="458"/>
              <w:jc w:val="both"/>
              <w:rPr>
                <w:sz w:val="28"/>
                <w:szCs w:val="28"/>
                <w:lang w:val="uk-UA"/>
              </w:rPr>
            </w:pPr>
            <w:r w:rsidRPr="005F638A">
              <w:rPr>
                <w:sz w:val="28"/>
                <w:szCs w:val="28"/>
                <w:lang w:val="uk-UA"/>
              </w:rPr>
              <w:t>інсти</w:t>
            </w:r>
            <w:r w:rsidR="002D495B" w:rsidRPr="005F638A">
              <w:rPr>
                <w:sz w:val="28"/>
                <w:szCs w:val="28"/>
                <w:lang w:val="uk-UA"/>
              </w:rPr>
              <w:t>туційн</w:t>
            </w:r>
            <w:r w:rsidR="00F37865" w:rsidRPr="005F638A">
              <w:rPr>
                <w:sz w:val="28"/>
                <w:szCs w:val="28"/>
                <w:lang w:val="uk-UA"/>
              </w:rPr>
              <w:t>і</w:t>
            </w:r>
            <w:r w:rsidR="002D495B" w:rsidRPr="005F638A">
              <w:rPr>
                <w:sz w:val="28"/>
                <w:szCs w:val="28"/>
                <w:lang w:val="uk-UA"/>
              </w:rPr>
              <w:t xml:space="preserve"> сектор</w:t>
            </w:r>
            <w:r w:rsidR="00F37865" w:rsidRPr="005F638A">
              <w:rPr>
                <w:sz w:val="28"/>
                <w:szCs w:val="28"/>
                <w:lang w:val="uk-UA"/>
              </w:rPr>
              <w:t>и</w:t>
            </w:r>
            <w:r w:rsidRPr="005F638A">
              <w:rPr>
                <w:sz w:val="28"/>
                <w:szCs w:val="28"/>
                <w:lang w:val="uk-UA"/>
              </w:rPr>
              <w:t xml:space="preserve"> економіки відповідно</w:t>
            </w:r>
            <w:r w:rsidRPr="00704833">
              <w:rPr>
                <w:sz w:val="28"/>
                <w:szCs w:val="28"/>
                <w:lang w:val="uk-UA"/>
              </w:rPr>
              <w:t xml:space="preserve"> до КІСЕ: </w:t>
            </w:r>
            <w:r w:rsidR="002D495B" w:rsidRPr="00704833">
              <w:rPr>
                <w:sz w:val="28"/>
                <w:szCs w:val="28"/>
                <w:lang w:val="uk-UA"/>
              </w:rPr>
              <w:t>S.11 "Нефінансові корпорації", S.12 "Фінансові корпорації"</w:t>
            </w:r>
            <w:r w:rsidR="00A65001" w:rsidRPr="00704833">
              <w:rPr>
                <w:sz w:val="28"/>
                <w:szCs w:val="28"/>
                <w:lang w:val="uk-UA"/>
              </w:rPr>
              <w:t>,</w:t>
            </w:r>
            <w:r w:rsidR="002D495B" w:rsidRPr="00704833">
              <w:rPr>
                <w:sz w:val="28"/>
                <w:szCs w:val="28"/>
                <w:lang w:val="uk-UA"/>
              </w:rPr>
              <w:t>S.13 "Сектор загального державного управління</w:t>
            </w:r>
            <w:r w:rsidR="00EE6BC3" w:rsidRPr="00704833">
              <w:rPr>
                <w:sz w:val="28"/>
                <w:szCs w:val="28"/>
                <w:lang w:val="uk-UA"/>
              </w:rPr>
              <w:t>, S.15 "Некомерційні організації, що обслуговують домашні господарства"</w:t>
            </w:r>
            <w:r w:rsidR="002D495B" w:rsidRPr="00704833">
              <w:rPr>
                <w:sz w:val="28"/>
                <w:szCs w:val="28"/>
                <w:lang w:val="uk-UA"/>
              </w:rPr>
              <w:t>;</w:t>
            </w:r>
          </w:p>
          <w:p w:rsidR="00586246" w:rsidRPr="00704833" w:rsidRDefault="00586246" w:rsidP="00D8656B">
            <w:pPr>
              <w:pStyle w:val="a7"/>
              <w:spacing w:before="0" w:beforeAutospacing="0" w:after="0" w:afterAutospacing="0"/>
              <w:ind w:firstLine="458"/>
              <w:jc w:val="both"/>
              <w:rPr>
                <w:sz w:val="28"/>
                <w:szCs w:val="28"/>
                <w:lang w:val="uk-UA"/>
              </w:rPr>
            </w:pPr>
          </w:p>
          <w:p w:rsidR="00F36BD3" w:rsidRPr="00704833" w:rsidRDefault="00EE6BC3" w:rsidP="00F36BD3">
            <w:pPr>
              <w:tabs>
                <w:tab w:val="left" w:pos="851"/>
              </w:tabs>
              <w:ind w:firstLine="459"/>
              <w:jc w:val="both"/>
            </w:pPr>
            <w:r w:rsidRPr="00704833">
              <w:t xml:space="preserve">мають хоча б одну із ознак здійснення зовнішньоекономічної діяльності та наявності іноземних інвестицій: </w:t>
            </w:r>
          </w:p>
          <w:p w:rsidR="00F36BD3" w:rsidRPr="00704833" w:rsidRDefault="00EE6BC3" w:rsidP="00F36BD3">
            <w:pPr>
              <w:tabs>
                <w:tab w:val="left" w:pos="851"/>
              </w:tabs>
              <w:ind w:firstLine="459"/>
              <w:jc w:val="both"/>
            </w:pPr>
            <w:r w:rsidRPr="00704833">
              <w:t>ознака здійснення зовнішньої торгівлі товарами;</w:t>
            </w:r>
          </w:p>
          <w:p w:rsidR="00F36BD3" w:rsidRPr="00704833" w:rsidRDefault="00EE6BC3" w:rsidP="00F36BD3">
            <w:pPr>
              <w:tabs>
                <w:tab w:val="left" w:pos="851"/>
              </w:tabs>
              <w:ind w:firstLine="459"/>
              <w:jc w:val="both"/>
            </w:pPr>
            <w:r w:rsidRPr="00704833">
              <w:t>ознака здійснення зовнішньої торгівлі послугами;</w:t>
            </w:r>
          </w:p>
          <w:p w:rsidR="00F36BD3" w:rsidRPr="00704833" w:rsidRDefault="00EE6BC3" w:rsidP="00F36BD3">
            <w:pPr>
              <w:tabs>
                <w:tab w:val="left" w:pos="851"/>
              </w:tabs>
              <w:ind w:firstLine="459"/>
              <w:jc w:val="both"/>
            </w:pPr>
            <w:r w:rsidRPr="00704833">
              <w:t>ознака отримання іноземних інвестицій;</w:t>
            </w:r>
          </w:p>
          <w:p w:rsidR="00F36BD3" w:rsidRPr="00704833" w:rsidRDefault="00EE6BC3" w:rsidP="00F36BD3">
            <w:pPr>
              <w:tabs>
                <w:tab w:val="left" w:pos="851"/>
              </w:tabs>
              <w:ind w:firstLine="459"/>
              <w:jc w:val="both"/>
            </w:pPr>
            <w:r w:rsidRPr="00704833">
              <w:t>ознака здійснення інвестицій за кордон;</w:t>
            </w:r>
          </w:p>
          <w:p w:rsidR="00EE6BC3" w:rsidRPr="00704833" w:rsidRDefault="00EE6BC3" w:rsidP="00F36BD3">
            <w:pPr>
              <w:tabs>
                <w:tab w:val="left" w:pos="851"/>
              </w:tabs>
              <w:ind w:firstLine="459"/>
              <w:jc w:val="both"/>
            </w:pPr>
            <w:r w:rsidRPr="00704833">
              <w:t>ознака здійснення міжнародних перевезень;</w:t>
            </w:r>
          </w:p>
          <w:p w:rsidR="009D3F85" w:rsidRPr="00704833" w:rsidRDefault="009D3F85" w:rsidP="00F36BD3">
            <w:pPr>
              <w:tabs>
                <w:tab w:val="left" w:pos="851"/>
              </w:tabs>
              <w:ind w:firstLine="459"/>
              <w:jc w:val="both"/>
            </w:pPr>
          </w:p>
          <w:p w:rsidR="00D8656B" w:rsidRPr="00704833" w:rsidRDefault="00EE6BC3" w:rsidP="00F36BD3">
            <w:pPr>
              <w:pStyle w:val="a7"/>
              <w:spacing w:before="0" w:beforeAutospacing="0" w:after="0" w:afterAutospacing="0"/>
              <w:ind w:firstLine="459"/>
              <w:jc w:val="both"/>
              <w:rPr>
                <w:sz w:val="28"/>
                <w:szCs w:val="28"/>
                <w:lang w:val="uk-UA" w:eastAsia="uk-UA"/>
              </w:rPr>
            </w:pPr>
            <w:r w:rsidRPr="00704833">
              <w:rPr>
                <w:sz w:val="28"/>
                <w:szCs w:val="28"/>
                <w:lang w:val="uk-UA"/>
              </w:rPr>
              <w:t xml:space="preserve">мають ліцензії та дозволи на ведення </w:t>
            </w:r>
            <w:r w:rsidRPr="00704833">
              <w:rPr>
                <w:sz w:val="28"/>
                <w:szCs w:val="28"/>
                <w:lang w:val="uk-UA" w:eastAsia="uk-UA"/>
              </w:rPr>
              <w:t>будівельної діяльності;</w:t>
            </w:r>
          </w:p>
          <w:p w:rsidR="009D3F85" w:rsidRPr="00704833" w:rsidRDefault="009D3F85" w:rsidP="00F36BD3">
            <w:pPr>
              <w:pStyle w:val="a7"/>
              <w:spacing w:before="0" w:beforeAutospacing="0" w:after="0" w:afterAutospacing="0"/>
              <w:ind w:firstLine="459"/>
              <w:jc w:val="both"/>
              <w:rPr>
                <w:sz w:val="28"/>
                <w:szCs w:val="28"/>
                <w:lang w:val="uk-UA"/>
              </w:rPr>
            </w:pPr>
          </w:p>
          <w:p w:rsidR="00755505" w:rsidRPr="00704833" w:rsidRDefault="00EE6BC3" w:rsidP="00F36BD3">
            <w:pPr>
              <w:pStyle w:val="a7"/>
              <w:spacing w:before="0" w:beforeAutospacing="0" w:after="0" w:afterAutospacing="0"/>
              <w:ind w:firstLine="459"/>
              <w:jc w:val="both"/>
              <w:rPr>
                <w:sz w:val="28"/>
                <w:szCs w:val="28"/>
                <w:lang w:val="uk-UA" w:eastAsia="uk-UA"/>
              </w:rPr>
            </w:pPr>
            <w:r w:rsidRPr="00704833">
              <w:rPr>
                <w:sz w:val="28"/>
                <w:szCs w:val="28"/>
                <w:lang w:val="uk-UA"/>
              </w:rPr>
              <w:t>є представництвами іноземних юридичних осіб в Україні.</w:t>
            </w:r>
          </w:p>
        </w:tc>
      </w:tr>
      <w:tr w:rsidR="00755505" w:rsidRPr="00704833" w:rsidTr="006023BA">
        <w:tc>
          <w:tcPr>
            <w:tcW w:w="5812" w:type="dxa"/>
            <w:shd w:val="clear" w:color="auto" w:fill="auto"/>
          </w:tcPr>
          <w:p w:rsidR="00755505" w:rsidRPr="00704833" w:rsidRDefault="00755505" w:rsidP="00F5736F">
            <w:pPr>
              <w:widowControl w:val="0"/>
              <w:tabs>
                <w:tab w:val="left" w:pos="4584"/>
              </w:tabs>
              <w:autoSpaceDE w:val="0"/>
              <w:autoSpaceDN w:val="0"/>
              <w:adjustRightInd w:val="0"/>
            </w:pPr>
            <w:r w:rsidRPr="00704833">
              <w:lastRenderedPageBreak/>
              <w:t>S.3.4. Статистичні визначення</w:t>
            </w:r>
            <w:r w:rsidRPr="00704833">
              <w:tab/>
            </w:r>
          </w:p>
        </w:tc>
        <w:tc>
          <w:tcPr>
            <w:tcW w:w="8647" w:type="dxa"/>
            <w:shd w:val="clear" w:color="auto" w:fill="auto"/>
          </w:tcPr>
          <w:p w:rsidR="00BC0849" w:rsidRPr="00704833" w:rsidRDefault="00BC0849" w:rsidP="009748A6">
            <w:pPr>
              <w:ind w:firstLine="459"/>
              <w:jc w:val="both"/>
            </w:pPr>
            <w:r w:rsidRPr="00704833">
              <w:t>У межах ДСС формуються такі показники із їх характеристиками (визначеннями)</w:t>
            </w:r>
            <w:r w:rsidR="00832E0F" w:rsidRPr="00704833">
              <w:t>:</w:t>
            </w:r>
          </w:p>
          <w:p w:rsidR="00352851" w:rsidRPr="00704833" w:rsidRDefault="00352851" w:rsidP="009748A6">
            <w:pPr>
              <w:ind w:firstLine="459"/>
              <w:jc w:val="both"/>
            </w:pPr>
            <w:r w:rsidRPr="00704833">
              <w:t xml:space="preserve">експорт послуг (формується як загальна вартість операцій з </w:t>
            </w:r>
            <w:r w:rsidRPr="00704833">
              <w:lastRenderedPageBreak/>
              <w:t xml:space="preserve">надання послуг резидентом нерезиденту згідно з договорами (контрактами) або в усній формі договору </w:t>
            </w:r>
            <w:bookmarkStart w:id="1" w:name="_Hlk58400442"/>
            <w:r w:rsidRPr="00704833">
              <w:t>за датою їх фактичного надання на основі принципу нарахування (за виписаними рахунками</w:t>
            </w:r>
            <w:bookmarkEnd w:id="1"/>
            <w:r w:rsidRPr="00704833">
              <w:t>);</w:t>
            </w:r>
          </w:p>
          <w:p w:rsidR="00352851" w:rsidRPr="00704833" w:rsidRDefault="00352851" w:rsidP="00352851">
            <w:pPr>
              <w:tabs>
                <w:tab w:val="left" w:pos="851"/>
              </w:tabs>
              <w:ind w:firstLine="602"/>
              <w:jc w:val="both"/>
            </w:pPr>
            <w:r w:rsidRPr="00704833">
              <w:t>імпорт послуг (формується як загальна вартість операцій з одержання послуг резидентом від нерезидента згідно з договорами (контрактами) або в усній формі договору за датою їх фактичного одержання на основі принципу нарахування (за виписаними рахунками);</w:t>
            </w:r>
          </w:p>
          <w:p w:rsidR="00352851" w:rsidRPr="00704833" w:rsidRDefault="00352851" w:rsidP="009748A6">
            <w:pPr>
              <w:ind w:firstLine="459"/>
              <w:jc w:val="both"/>
            </w:pPr>
            <w:r w:rsidRPr="00704833">
              <w:t>сальдо послуг (формується як різниця експорту та імпорту послуг);</w:t>
            </w:r>
          </w:p>
          <w:p w:rsidR="00352851" w:rsidRPr="00704833" w:rsidRDefault="00352851" w:rsidP="009748A6">
            <w:pPr>
              <w:ind w:firstLine="459"/>
              <w:jc w:val="both"/>
            </w:pPr>
            <w:r w:rsidRPr="00704833">
              <w:t>темп зростання/зниження експорту-імпорту послуг до відповідного періоду попереднього року (формується як відношення експорту-імпорту послуги у звітному періоді до експорту-імпорту цієї послуги у відповідному періоді попереднього року);</w:t>
            </w:r>
          </w:p>
          <w:p w:rsidR="00352851" w:rsidRPr="00704833" w:rsidRDefault="00352851" w:rsidP="009748A6">
            <w:pPr>
              <w:ind w:firstLine="459"/>
              <w:jc w:val="both"/>
            </w:pPr>
            <w:r w:rsidRPr="00704833">
              <w:t>питома вага експорту-імпорту послуг у загальному обсязі експорту- імпорту (формується як відношення експорту-імпорту послуги за видом послуги, країною надання (одержання) послуги до загального експорту</w:t>
            </w:r>
            <w:r w:rsidR="003276DE" w:rsidRPr="00704833">
              <w:t>-імпорту</w:t>
            </w:r>
            <w:r w:rsidRPr="00704833">
              <w:t>);</w:t>
            </w:r>
          </w:p>
          <w:p w:rsidR="00352851" w:rsidRDefault="00352851" w:rsidP="00352851">
            <w:pPr>
              <w:tabs>
                <w:tab w:val="left" w:pos="851"/>
              </w:tabs>
              <w:ind w:firstLine="602"/>
              <w:jc w:val="both"/>
            </w:pPr>
            <w:r w:rsidRPr="00704833">
              <w:t>коефіцієнт покриття експортом імпорту (формується як відношення експорту послуг до їх імпорту).</w:t>
            </w:r>
          </w:p>
          <w:p w:rsidR="00F37865" w:rsidRPr="005F638A" w:rsidRDefault="00F37865" w:rsidP="00352851">
            <w:pPr>
              <w:tabs>
                <w:tab w:val="left" w:pos="851"/>
              </w:tabs>
              <w:ind w:firstLine="602"/>
              <w:jc w:val="both"/>
            </w:pPr>
            <w:r w:rsidRPr="005F638A">
              <w:t>Усі показники формуються в цілому по Україні, за регіонами з використанням КАТОТТГ</w:t>
            </w:r>
            <w:r w:rsidR="00081C97" w:rsidRPr="005F638A">
              <w:t>.</w:t>
            </w:r>
          </w:p>
          <w:p w:rsidR="00154EEC" w:rsidRPr="005F638A" w:rsidRDefault="00081C97" w:rsidP="00352851">
            <w:pPr>
              <w:tabs>
                <w:tab w:val="left" w:pos="851"/>
              </w:tabs>
              <w:ind w:firstLine="602"/>
              <w:jc w:val="both"/>
            </w:pPr>
            <w:r w:rsidRPr="005F638A">
              <w:t>Д</w:t>
            </w:r>
            <w:r w:rsidR="00F37865" w:rsidRPr="005F638A">
              <w:t xml:space="preserve">ля показників щодо експорту-імпорту послуг, сальдо, темпу зростання/зниження експорту-імпорту, питомої ваги експорту-імпорту послуг у загальному обсязі експорту-імпорту: </w:t>
            </w:r>
          </w:p>
          <w:p w:rsidR="00154EEC" w:rsidRPr="005F638A" w:rsidRDefault="00F37865" w:rsidP="00352851">
            <w:pPr>
              <w:tabs>
                <w:tab w:val="left" w:pos="851"/>
              </w:tabs>
              <w:ind w:firstLine="602"/>
              <w:jc w:val="both"/>
            </w:pPr>
            <w:r w:rsidRPr="005F638A">
              <w:t xml:space="preserve">за видами послуг (відповідно до КЗЕП); </w:t>
            </w:r>
          </w:p>
          <w:p w:rsidR="000D35E1" w:rsidRPr="00704833" w:rsidRDefault="00F37865" w:rsidP="00154EEC">
            <w:pPr>
              <w:tabs>
                <w:tab w:val="left" w:pos="851"/>
              </w:tabs>
              <w:ind w:firstLine="602"/>
              <w:jc w:val="both"/>
            </w:pPr>
            <w:r w:rsidRPr="005F638A">
              <w:t>у розрізі країни нерезидента (відповідно до ПК</w:t>
            </w:r>
            <w:r w:rsidR="006326B1">
              <w:rPr>
                <w:lang w:val="en-US"/>
              </w:rPr>
              <w:t xml:space="preserve"> </w:t>
            </w:r>
            <w:r w:rsidRPr="005F638A">
              <w:t>КС)</w:t>
            </w:r>
            <w:r w:rsidR="00154EEC" w:rsidRPr="005F638A">
              <w:t>.</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lastRenderedPageBreak/>
              <w:t>S.3.5. Статистична одиниця</w:t>
            </w:r>
          </w:p>
        </w:tc>
        <w:tc>
          <w:tcPr>
            <w:tcW w:w="8647" w:type="dxa"/>
            <w:shd w:val="clear" w:color="auto" w:fill="auto"/>
          </w:tcPr>
          <w:p w:rsidR="00755505" w:rsidRPr="00704833" w:rsidRDefault="009B5CFC" w:rsidP="00D17D4E">
            <w:pPr>
              <w:ind w:firstLine="431"/>
              <w:contextualSpacing/>
              <w:jc w:val="both"/>
            </w:pPr>
            <w:r w:rsidRPr="00704833">
              <w:t xml:space="preserve">Одиницею статистичного спостереженняє </w:t>
            </w:r>
            <w:r w:rsidR="00424825" w:rsidRPr="00704833">
              <w:t>юридичні особи-</w:t>
            </w:r>
            <w:r w:rsidR="00424825" w:rsidRPr="00704833">
              <w:lastRenderedPageBreak/>
              <w:t>резиденти України, що здійснюють експортно-імпортні операції послугами</w:t>
            </w:r>
            <w:r w:rsidR="00C13FAE" w:rsidRPr="00704833">
              <w:t>.</w:t>
            </w:r>
          </w:p>
          <w:p w:rsidR="00C13FAE" w:rsidRPr="00704833" w:rsidRDefault="00C13FAE" w:rsidP="00D17D4E">
            <w:pPr>
              <w:ind w:firstLine="431"/>
              <w:contextualSpacing/>
              <w:jc w:val="both"/>
            </w:pPr>
            <w:r w:rsidRPr="00704833">
              <w:t>Для формування генеральної сукупності та сукупності одиниць, що вивчається, застосовується статистична одиниця – підприємство.</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lastRenderedPageBreak/>
              <w:t>S.3.6. Статистична сукупність</w:t>
            </w:r>
          </w:p>
        </w:tc>
        <w:tc>
          <w:tcPr>
            <w:tcW w:w="8647" w:type="dxa"/>
            <w:shd w:val="clear" w:color="auto" w:fill="auto"/>
          </w:tcPr>
          <w:p w:rsidR="00596E17" w:rsidRPr="005F638A" w:rsidRDefault="00596E17" w:rsidP="00596E17">
            <w:pPr>
              <w:pStyle w:val="a7"/>
              <w:spacing w:before="0" w:beforeAutospacing="0" w:after="0" w:afterAutospacing="0"/>
              <w:ind w:firstLine="454"/>
              <w:jc w:val="both"/>
              <w:rPr>
                <w:kern w:val="2"/>
                <w:sz w:val="28"/>
                <w:szCs w:val="28"/>
                <w:lang w:val="uk-UA"/>
              </w:rPr>
            </w:pPr>
            <w:r w:rsidRPr="005F638A">
              <w:rPr>
                <w:kern w:val="2"/>
                <w:sz w:val="28"/>
                <w:szCs w:val="28"/>
                <w:lang w:val="uk-UA"/>
              </w:rPr>
              <w:t xml:space="preserve">На </w:t>
            </w:r>
            <w:r w:rsidR="0037637F" w:rsidRPr="005F638A">
              <w:rPr>
                <w:kern w:val="2"/>
                <w:sz w:val="28"/>
                <w:szCs w:val="28"/>
                <w:lang w:val="uk-UA"/>
              </w:rPr>
              <w:t>о</w:t>
            </w:r>
            <w:r w:rsidRPr="005F638A">
              <w:rPr>
                <w:kern w:val="2"/>
                <w:sz w:val="28"/>
                <w:szCs w:val="28"/>
                <w:lang w:val="uk-UA"/>
              </w:rPr>
              <w:t>снові</w:t>
            </w:r>
            <w:r w:rsidR="006326B1">
              <w:rPr>
                <w:kern w:val="2"/>
                <w:sz w:val="28"/>
                <w:szCs w:val="28"/>
                <w:lang w:val="en-US"/>
              </w:rPr>
              <w:t xml:space="preserve"> </w:t>
            </w:r>
            <w:r w:rsidRPr="005F638A">
              <w:rPr>
                <w:kern w:val="2"/>
                <w:sz w:val="28"/>
                <w:szCs w:val="28"/>
                <w:lang w:val="uk-UA"/>
              </w:rPr>
              <w:t>генеральної</w:t>
            </w:r>
            <w:r w:rsidR="006326B1">
              <w:rPr>
                <w:kern w:val="2"/>
                <w:sz w:val="28"/>
                <w:szCs w:val="28"/>
                <w:lang w:val="en-US"/>
              </w:rPr>
              <w:t xml:space="preserve"> </w:t>
            </w:r>
            <w:r w:rsidRPr="005F638A">
              <w:rPr>
                <w:kern w:val="2"/>
                <w:sz w:val="28"/>
                <w:szCs w:val="28"/>
                <w:lang w:val="uk-UA"/>
              </w:rPr>
              <w:t>сукупності</w:t>
            </w:r>
            <w:r w:rsidR="006326B1">
              <w:rPr>
                <w:kern w:val="2"/>
                <w:sz w:val="28"/>
                <w:szCs w:val="28"/>
                <w:lang w:val="en-US"/>
              </w:rPr>
              <w:t xml:space="preserve"> </w:t>
            </w:r>
            <w:r w:rsidRPr="005F638A">
              <w:rPr>
                <w:kern w:val="2"/>
                <w:sz w:val="28"/>
                <w:szCs w:val="28"/>
                <w:lang w:val="uk-UA"/>
              </w:rPr>
              <w:t>одиниць</w:t>
            </w:r>
            <w:r w:rsidR="006326B1">
              <w:rPr>
                <w:kern w:val="2"/>
                <w:sz w:val="28"/>
                <w:szCs w:val="28"/>
                <w:lang w:val="en-US"/>
              </w:rPr>
              <w:t xml:space="preserve"> </w:t>
            </w:r>
            <w:r w:rsidRPr="005F638A">
              <w:rPr>
                <w:kern w:val="2"/>
                <w:sz w:val="28"/>
                <w:szCs w:val="28"/>
                <w:lang w:val="uk-UA"/>
              </w:rPr>
              <w:t>формується</w:t>
            </w:r>
            <w:r w:rsidR="006326B1">
              <w:rPr>
                <w:kern w:val="2"/>
                <w:sz w:val="28"/>
                <w:szCs w:val="28"/>
                <w:lang w:val="en-US"/>
              </w:rPr>
              <w:t xml:space="preserve"> </w:t>
            </w:r>
            <w:r w:rsidRPr="005F638A">
              <w:rPr>
                <w:kern w:val="2"/>
                <w:sz w:val="28"/>
                <w:szCs w:val="28"/>
                <w:lang w:val="uk-UA"/>
              </w:rPr>
              <w:t>сукупність</w:t>
            </w:r>
            <w:r w:rsidR="006326B1">
              <w:rPr>
                <w:kern w:val="2"/>
                <w:sz w:val="28"/>
                <w:szCs w:val="28"/>
                <w:lang w:val="en-US"/>
              </w:rPr>
              <w:t xml:space="preserve"> </w:t>
            </w:r>
            <w:r w:rsidRPr="005F638A">
              <w:rPr>
                <w:kern w:val="2"/>
                <w:sz w:val="28"/>
                <w:szCs w:val="28"/>
                <w:lang w:val="uk-UA"/>
              </w:rPr>
              <w:t>одиниць</w:t>
            </w:r>
            <w:r w:rsidR="006326B1">
              <w:rPr>
                <w:kern w:val="2"/>
                <w:sz w:val="28"/>
                <w:szCs w:val="28"/>
                <w:lang w:val="en-US"/>
              </w:rPr>
              <w:t xml:space="preserve"> </w:t>
            </w:r>
            <w:r w:rsidRPr="005F638A">
              <w:rPr>
                <w:kern w:val="2"/>
                <w:sz w:val="28"/>
                <w:szCs w:val="28"/>
                <w:lang w:val="uk-UA"/>
              </w:rPr>
              <w:t>статистичного</w:t>
            </w:r>
            <w:r w:rsidR="006326B1">
              <w:rPr>
                <w:kern w:val="2"/>
                <w:sz w:val="28"/>
                <w:szCs w:val="28"/>
                <w:lang w:val="en-US"/>
              </w:rPr>
              <w:t xml:space="preserve"> </w:t>
            </w:r>
            <w:r w:rsidRPr="005F638A">
              <w:rPr>
                <w:kern w:val="2"/>
                <w:sz w:val="28"/>
                <w:szCs w:val="28"/>
                <w:lang w:val="uk-UA"/>
              </w:rPr>
              <w:t>спостереження</w:t>
            </w:r>
            <w:r w:rsidR="006326B1">
              <w:rPr>
                <w:kern w:val="2"/>
                <w:sz w:val="28"/>
                <w:szCs w:val="28"/>
                <w:lang w:val="en-US"/>
              </w:rPr>
              <w:t xml:space="preserve"> </w:t>
            </w:r>
            <w:r w:rsidR="006326B1">
              <w:rPr>
                <w:kern w:val="2"/>
                <w:sz w:val="28"/>
                <w:szCs w:val="28"/>
                <w:lang w:val="uk-UA"/>
              </w:rPr>
              <w:t>за формою № </w:t>
            </w:r>
            <w:r w:rsidR="007B5F5A" w:rsidRPr="005F638A">
              <w:rPr>
                <w:kern w:val="2"/>
                <w:sz w:val="28"/>
                <w:szCs w:val="28"/>
                <w:lang w:val="uk-UA"/>
              </w:rPr>
              <w:t>9</w:t>
            </w:r>
            <w:r w:rsidRPr="005F638A">
              <w:rPr>
                <w:kern w:val="2"/>
                <w:sz w:val="28"/>
                <w:szCs w:val="28"/>
                <w:lang w:val="uk-UA"/>
              </w:rPr>
              <w:t>-</w:t>
            </w:r>
            <w:r w:rsidR="00194F13" w:rsidRPr="005F638A">
              <w:rPr>
                <w:kern w:val="2"/>
                <w:sz w:val="28"/>
                <w:szCs w:val="28"/>
                <w:lang w:val="uk-UA"/>
              </w:rPr>
              <w:t>ЗЕЗ</w:t>
            </w:r>
            <w:r w:rsidR="00663BE9" w:rsidRPr="005F638A">
              <w:rPr>
                <w:kern w:val="2"/>
                <w:sz w:val="28"/>
                <w:szCs w:val="28"/>
                <w:lang w:val="uk-UA"/>
              </w:rPr>
              <w:t xml:space="preserve"> (квартальна), до якої включаються одиниці, </w:t>
            </w:r>
            <w:r w:rsidR="0045615C" w:rsidRPr="005F638A">
              <w:rPr>
                <w:kern w:val="2"/>
                <w:sz w:val="28"/>
                <w:szCs w:val="28"/>
                <w:lang w:val="uk-UA"/>
              </w:rPr>
              <w:t>які</w:t>
            </w:r>
            <w:r w:rsidR="00663BE9" w:rsidRPr="005F638A">
              <w:rPr>
                <w:kern w:val="2"/>
                <w:sz w:val="28"/>
                <w:szCs w:val="28"/>
                <w:lang w:val="uk-UA"/>
              </w:rPr>
              <w:t>:</w:t>
            </w:r>
          </w:p>
          <w:p w:rsidR="00596E17" w:rsidRPr="005F638A" w:rsidRDefault="007B5F5A" w:rsidP="00596E17">
            <w:pPr>
              <w:pStyle w:val="a7"/>
              <w:spacing w:before="0" w:beforeAutospacing="0" w:after="0" w:afterAutospacing="0"/>
              <w:ind w:firstLine="454"/>
              <w:jc w:val="both"/>
              <w:rPr>
                <w:kern w:val="2"/>
                <w:sz w:val="28"/>
                <w:szCs w:val="28"/>
                <w:lang w:val="uk-UA"/>
              </w:rPr>
            </w:pPr>
            <w:r w:rsidRPr="005F638A">
              <w:rPr>
                <w:sz w:val="28"/>
                <w:szCs w:val="28"/>
                <w:lang w:val="uk-UA"/>
              </w:rPr>
              <w:t xml:space="preserve">мали операції з експорту-імпорту послуг станом на 01 жовтня </w:t>
            </w:r>
            <w:r w:rsidR="0045615C" w:rsidRPr="005F638A">
              <w:rPr>
                <w:sz w:val="28"/>
                <w:szCs w:val="28"/>
                <w:lang w:val="uk-UA"/>
              </w:rPr>
              <w:t xml:space="preserve">звітного </w:t>
            </w:r>
            <w:r w:rsidRPr="005F638A">
              <w:rPr>
                <w:sz w:val="28"/>
                <w:szCs w:val="28"/>
                <w:lang w:val="uk-UA"/>
              </w:rPr>
              <w:t>року, за даними форми № 9-</w:t>
            </w:r>
            <w:r w:rsidR="00194F13" w:rsidRPr="005F638A">
              <w:rPr>
                <w:sz w:val="28"/>
                <w:szCs w:val="28"/>
                <w:lang w:val="uk-UA"/>
              </w:rPr>
              <w:t>ЗЕЗ</w:t>
            </w:r>
            <w:r w:rsidRPr="005F638A">
              <w:rPr>
                <w:sz w:val="28"/>
                <w:szCs w:val="28"/>
                <w:lang w:val="uk-UA"/>
              </w:rPr>
              <w:t xml:space="preserve"> (квартальна), уключаючи самостійно подані звіти</w:t>
            </w:r>
            <w:r w:rsidR="00596E17" w:rsidRPr="005F638A">
              <w:rPr>
                <w:kern w:val="2"/>
                <w:sz w:val="28"/>
                <w:szCs w:val="28"/>
                <w:lang w:val="uk-UA"/>
              </w:rPr>
              <w:t xml:space="preserve">;  </w:t>
            </w:r>
          </w:p>
          <w:p w:rsidR="007B5F5A" w:rsidRPr="00704833" w:rsidRDefault="007B5F5A" w:rsidP="00282CF1">
            <w:pPr>
              <w:pStyle w:val="a7"/>
              <w:spacing w:before="0" w:beforeAutospacing="0" w:after="0" w:afterAutospacing="0"/>
              <w:ind w:firstLine="454"/>
              <w:jc w:val="both"/>
              <w:rPr>
                <w:sz w:val="28"/>
                <w:szCs w:val="28"/>
                <w:lang w:val="uk-UA"/>
              </w:rPr>
            </w:pPr>
            <w:r w:rsidRPr="005F638A">
              <w:rPr>
                <w:sz w:val="28"/>
                <w:szCs w:val="28"/>
                <w:lang w:val="uk-UA"/>
              </w:rPr>
              <w:t>зазначили про здійснення ними зовнішньої торгівлі послугами у році</w:t>
            </w:r>
            <w:r w:rsidR="0045615C" w:rsidRPr="005F638A">
              <w:rPr>
                <w:sz w:val="28"/>
                <w:szCs w:val="28"/>
                <w:lang w:val="uk-UA"/>
              </w:rPr>
              <w:t>, що передує звітному</w:t>
            </w:r>
            <w:r w:rsidRPr="005F638A">
              <w:rPr>
                <w:sz w:val="28"/>
                <w:szCs w:val="28"/>
                <w:lang w:val="uk-UA"/>
              </w:rPr>
              <w:t>;</w:t>
            </w:r>
          </w:p>
          <w:p w:rsidR="007B5F5A" w:rsidRPr="00704833" w:rsidRDefault="007B5F5A" w:rsidP="00282CF1">
            <w:pPr>
              <w:pStyle w:val="a7"/>
              <w:spacing w:before="0" w:beforeAutospacing="0" w:after="0" w:afterAutospacing="0"/>
              <w:ind w:firstLine="454"/>
              <w:jc w:val="both"/>
              <w:rPr>
                <w:sz w:val="28"/>
                <w:szCs w:val="28"/>
                <w:lang w:val="uk-UA"/>
              </w:rPr>
            </w:pPr>
            <w:r w:rsidRPr="00704833">
              <w:rPr>
                <w:sz w:val="28"/>
                <w:szCs w:val="28"/>
                <w:lang w:val="uk-UA"/>
              </w:rPr>
              <w:t>підприємства, які є колективними закладами розміщення та розміщували нерезидентів протягом року;</w:t>
            </w:r>
          </w:p>
          <w:p w:rsidR="007B5F5A" w:rsidRPr="00704833" w:rsidRDefault="007B5F5A" w:rsidP="007B5F5A">
            <w:pPr>
              <w:tabs>
                <w:tab w:val="left" w:pos="851"/>
              </w:tabs>
              <w:ind w:firstLine="567"/>
              <w:jc w:val="both"/>
            </w:pPr>
            <w:r w:rsidRPr="00704833">
              <w:t>підприємства, які опрацьовані в частині зовнішньоекономічних послуг у межах проведення зіставлення переліків НБУ і ДСС "Зовнішня торгівля послугами";</w:t>
            </w:r>
          </w:p>
          <w:p w:rsidR="007B5F5A" w:rsidRPr="00704833" w:rsidRDefault="007B5F5A" w:rsidP="007B5F5A">
            <w:pPr>
              <w:tabs>
                <w:tab w:val="left" w:pos="851"/>
              </w:tabs>
              <w:ind w:firstLine="567"/>
              <w:jc w:val="both"/>
            </w:pPr>
            <w:r w:rsidRPr="00704833">
              <w:t xml:space="preserve">підприємства, які одержали від </w:t>
            </w:r>
            <w:proofErr w:type="spellStart"/>
            <w:r w:rsidRPr="00704833">
              <w:t>Держекспортконтролю</w:t>
            </w:r>
            <w:proofErr w:type="spellEnd"/>
            <w:r w:rsidRPr="00704833">
              <w:t xml:space="preserve"> дозволи на здійснення експорту/імпорту товарів (послуг) військового призначення та подвійного використання станом на 01 листопада </w:t>
            </w:r>
            <w:r w:rsidR="0045615C">
              <w:t xml:space="preserve">звітного </w:t>
            </w:r>
            <w:r w:rsidRPr="00704833">
              <w:t>року</w:t>
            </w:r>
            <w:r w:rsidR="0045615C">
              <w:t>.</w:t>
            </w:r>
          </w:p>
          <w:p w:rsidR="008E2B00" w:rsidRDefault="00F36BD3" w:rsidP="006D5F82">
            <w:pPr>
              <w:tabs>
                <w:tab w:val="left" w:pos="851"/>
              </w:tabs>
              <w:ind w:firstLine="567"/>
              <w:jc w:val="both"/>
            </w:pPr>
            <w:r w:rsidRPr="00704833">
              <w:t xml:space="preserve">На основі сукупності одиниць, що вивчається за формою </w:t>
            </w:r>
            <w:r w:rsidR="006326B1">
              <w:rPr>
                <w:lang w:val="en-US"/>
              </w:rPr>
              <w:t xml:space="preserve">                    </w:t>
            </w:r>
            <w:r w:rsidRPr="00704833">
              <w:t>№ 9-</w:t>
            </w:r>
            <w:r w:rsidR="00194F13" w:rsidRPr="00704833">
              <w:t>ЗЕЗ</w:t>
            </w:r>
            <w:r w:rsidRPr="00704833">
              <w:t xml:space="preserve"> (квартальна), формується сукупність одиниць ДСС за формою № 1-</w:t>
            </w:r>
            <w:r w:rsidR="00194F13" w:rsidRPr="00704833">
              <w:t>ЗЕЗ</w:t>
            </w:r>
            <w:r w:rsidRPr="00704833">
              <w:t xml:space="preserve"> (буд) (річна)</w:t>
            </w:r>
            <w:r w:rsidR="006326B1">
              <w:rPr>
                <w:lang w:val="en-US"/>
              </w:rPr>
              <w:t xml:space="preserve"> </w:t>
            </w:r>
            <w:r w:rsidR="006D5F82" w:rsidRPr="005F638A">
              <w:t>"Розширений звіт про експорт-імпорт послуг з будівництва" (далі – форма № 1-ЗЕЗ (буд) (річна)</w:t>
            </w:r>
            <w:r w:rsidRPr="005F638A">
              <w:t>,</w:t>
            </w:r>
            <w:r w:rsidRPr="00704833">
              <w:t xml:space="preserve"> до якої включаються одиниці, що </w:t>
            </w:r>
            <w:bookmarkStart w:id="2" w:name="_Hlk89859872"/>
            <w:r w:rsidRPr="00704833">
              <w:t>мали операції з експорту-імпорту послуг з будівництва за даними форми № 9-</w:t>
            </w:r>
            <w:r w:rsidR="00194F13" w:rsidRPr="00704833">
              <w:t>ЗЕЗ</w:t>
            </w:r>
            <w:r w:rsidRPr="00704833">
              <w:t xml:space="preserve"> (квартальна), уключаючи самостійно подані звіти</w:t>
            </w:r>
            <w:bookmarkEnd w:id="2"/>
            <w:r w:rsidRPr="00704833">
              <w:t>.</w:t>
            </w:r>
          </w:p>
          <w:p w:rsidR="00987638" w:rsidRPr="005F638A" w:rsidRDefault="00987638" w:rsidP="00987638">
            <w:pPr>
              <w:tabs>
                <w:tab w:val="left" w:pos="851"/>
              </w:tabs>
              <w:ind w:firstLine="567"/>
              <w:jc w:val="both"/>
            </w:pPr>
            <w:r w:rsidRPr="005F638A">
              <w:lastRenderedPageBreak/>
              <w:t>До сукупностей одиниць, що вивчаються, не включаються одиниці, які не звітували або подали звіти з відсутніми даними протягом звітного року та року, що передував звітному, із причин, пов’язаних із відсутністю здійснення господарської діяльності (в одиниці відсутнє явище, яке спостерігається; одиниця не звітує з причини виникнення надзвичайних та непереборних обставин; одиниця реорганізована/в стадії реорганізації або передала виробничі фактори іншій одиниці), а також з причин одиниця не знайдена за наявними контактами або відмовилася звітувати.</w:t>
            </w:r>
          </w:p>
          <w:p w:rsidR="00987638" w:rsidRPr="00704833" w:rsidRDefault="00987638" w:rsidP="00987638">
            <w:pPr>
              <w:tabs>
                <w:tab w:val="left" w:pos="851"/>
              </w:tabs>
              <w:ind w:firstLine="567"/>
              <w:jc w:val="both"/>
            </w:pPr>
            <w:r w:rsidRPr="005F638A">
              <w:t>На підставі сукупностей одиниць, що вивчаються, формуються сукупності респондентів, до яких уключаються юридичні особи та представництва іноземних юридичних осіб в Україні, яким відповідають одиниці, що наявні в сукупностях одиниць ДСС, що вивчаються.</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lastRenderedPageBreak/>
              <w:t>S.3.7. Відповідна область</w:t>
            </w:r>
          </w:p>
        </w:tc>
        <w:tc>
          <w:tcPr>
            <w:tcW w:w="8647" w:type="dxa"/>
            <w:shd w:val="clear" w:color="auto" w:fill="auto"/>
          </w:tcPr>
          <w:p w:rsidR="00D569E6" w:rsidRPr="00704833" w:rsidRDefault="0008786C" w:rsidP="00C3325D">
            <w:pPr>
              <w:widowControl w:val="0"/>
              <w:autoSpaceDE w:val="0"/>
              <w:autoSpaceDN w:val="0"/>
              <w:adjustRightInd w:val="0"/>
              <w:ind w:firstLine="430"/>
              <w:jc w:val="both"/>
            </w:pPr>
            <w:r w:rsidRPr="00704833">
              <w:rPr>
                <w:color w:val="000000" w:themeColor="text1"/>
              </w:rPr>
              <w:t xml:space="preserve">Результати </w:t>
            </w:r>
            <w:r w:rsidR="6DAEA687" w:rsidRPr="00704833">
              <w:rPr>
                <w:color w:val="000000" w:themeColor="text1"/>
              </w:rPr>
              <w:t xml:space="preserve">ДСС </w:t>
            </w:r>
            <w:r w:rsidRPr="00704833">
              <w:rPr>
                <w:color w:val="000000" w:themeColor="text1"/>
              </w:rPr>
              <w:t>формуються в цілому по Україні</w:t>
            </w:r>
            <w:r w:rsidR="00195164" w:rsidRPr="00704833">
              <w:t>та</w:t>
            </w:r>
            <w:r w:rsidR="006361DF" w:rsidRPr="00704833">
              <w:t>регіон</w:t>
            </w:r>
            <w:r w:rsidR="002417FA" w:rsidRPr="00704833">
              <w:t>ах</w:t>
            </w:r>
            <w:r w:rsidR="6DAEA687" w:rsidRPr="00704833">
              <w:rPr>
                <w:color w:val="000000" w:themeColor="text1"/>
              </w:rPr>
              <w:t>(без урахування тимчасово окупованої території Автономної Республіки Крим, м.</w:t>
            </w:r>
            <w:r w:rsidR="00EE7429" w:rsidRPr="00704833">
              <w:rPr>
                <w:color w:val="000000" w:themeColor="text1"/>
              </w:rPr>
              <w:t> </w:t>
            </w:r>
            <w:r w:rsidR="6DAEA687" w:rsidRPr="00704833">
              <w:rPr>
                <w:color w:val="000000" w:themeColor="text1"/>
              </w:rPr>
              <w:t>Севастополя та частини тимчасово окупованих територій у Донецькій та Луганській областях</w:t>
            </w:r>
            <w:r w:rsidR="002417FA" w:rsidRPr="00704833">
              <w:rPr>
                <w:color w:val="000000" w:themeColor="text1"/>
              </w:rPr>
              <w:t>, починаючи з 2014 року</w:t>
            </w:r>
            <w:r w:rsidR="6DAEA687" w:rsidRPr="00704833">
              <w:rPr>
                <w:color w:val="000000" w:themeColor="text1"/>
              </w:rPr>
              <w:t>)</w:t>
            </w:r>
            <w:r w:rsidR="00EE34D0" w:rsidRPr="00704833">
              <w:rPr>
                <w:color w:val="000000" w:themeColor="text1"/>
              </w:rPr>
              <w:t xml:space="preserve">, </w:t>
            </w:r>
            <w:r w:rsidR="00EE34D0" w:rsidRPr="00704833">
              <w:t>без урахування тимчасово окупованих російською федерацією територій та частини територій, на яких ведуться (велися) бойові дії</w:t>
            </w:r>
            <w:r w:rsidR="002417FA" w:rsidRPr="00704833">
              <w:t xml:space="preserve"> – із 2022 року</w:t>
            </w:r>
            <w:r w:rsidR="00EE34D0" w:rsidRPr="00704833">
              <w:t>)</w:t>
            </w:r>
            <w:r w:rsidR="0037637F">
              <w:t>)</w:t>
            </w:r>
            <w:r w:rsidR="00BD658C" w:rsidRPr="00704833">
              <w:t>.</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S.3.8. Часове охоплення</w:t>
            </w:r>
          </w:p>
        </w:tc>
        <w:tc>
          <w:tcPr>
            <w:tcW w:w="8647" w:type="dxa"/>
            <w:shd w:val="clear" w:color="auto" w:fill="auto"/>
          </w:tcPr>
          <w:p w:rsidR="001A3D99" w:rsidRPr="00704833" w:rsidRDefault="15F692E7" w:rsidP="00EE2CD5">
            <w:pPr>
              <w:widowControl w:val="0"/>
              <w:autoSpaceDE w:val="0"/>
              <w:autoSpaceDN w:val="0"/>
              <w:adjustRightInd w:val="0"/>
              <w:ind w:firstLine="430"/>
              <w:jc w:val="both"/>
            </w:pPr>
            <w:r w:rsidRPr="00704833">
              <w:t>ДСС охоплює період із 199</w:t>
            </w:r>
            <w:r w:rsidR="00424825" w:rsidRPr="00704833">
              <w:t>6</w:t>
            </w:r>
            <w:r w:rsidR="00EE2CD5" w:rsidRPr="00704833">
              <w:t xml:space="preserve">року </w:t>
            </w:r>
            <w:r w:rsidR="008E58F3" w:rsidRPr="00704833">
              <w:t>по</w:t>
            </w:r>
            <w:r w:rsidR="00D328D1" w:rsidRPr="00704833">
              <w:t xml:space="preserve"> 2023 рік</w:t>
            </w:r>
            <w:r w:rsidR="008E58F3" w:rsidRPr="00704833">
              <w:t xml:space="preserve">. </w:t>
            </w:r>
          </w:p>
          <w:p w:rsidR="00C07FD4" w:rsidRPr="00704833" w:rsidRDefault="00C07FD4" w:rsidP="00EE2CD5">
            <w:pPr>
              <w:widowControl w:val="0"/>
              <w:autoSpaceDE w:val="0"/>
              <w:autoSpaceDN w:val="0"/>
              <w:adjustRightInd w:val="0"/>
              <w:ind w:firstLine="430"/>
              <w:jc w:val="both"/>
            </w:pPr>
            <w:r w:rsidRPr="00704833">
              <w:t xml:space="preserve">У сучасному вигляді ДСС </w:t>
            </w:r>
            <w:r w:rsidR="00BE2B4F">
              <w:t xml:space="preserve">існує </w:t>
            </w:r>
            <w:r w:rsidRPr="00704833">
              <w:t xml:space="preserve">з </w:t>
            </w:r>
            <w:r w:rsidR="00BE2B4F">
              <w:t>2022</w:t>
            </w:r>
            <w:r w:rsidRPr="00704833">
              <w:t xml:space="preserve"> рок</w:t>
            </w:r>
            <w:r w:rsidR="00BE2B4F">
              <w:t>у</w:t>
            </w:r>
            <w:r w:rsidRPr="00704833">
              <w:t xml:space="preserve">. </w:t>
            </w:r>
          </w:p>
          <w:p w:rsidR="00755505" w:rsidRPr="00704833" w:rsidRDefault="008E58F3" w:rsidP="005F638A">
            <w:pPr>
              <w:widowControl w:val="0"/>
              <w:autoSpaceDE w:val="0"/>
              <w:autoSpaceDN w:val="0"/>
              <w:adjustRightInd w:val="0"/>
              <w:ind w:firstLine="430"/>
              <w:jc w:val="both"/>
            </w:pPr>
            <w:r w:rsidRPr="00704833">
              <w:t>Динамічний ряд описаний у п</w:t>
            </w:r>
            <w:r w:rsidR="001C0EC7" w:rsidRPr="00704833">
              <w:t>у</w:t>
            </w:r>
            <w:r w:rsidRPr="00704833">
              <w:t xml:space="preserve">нкті </w:t>
            </w:r>
            <w:r w:rsidR="001C0EC7" w:rsidRPr="00704833">
              <w:t>S.15.2.</w:t>
            </w:r>
          </w:p>
        </w:tc>
      </w:tr>
      <w:tr w:rsidR="00755505" w:rsidRPr="00704833" w:rsidTr="006023BA">
        <w:trPr>
          <w:trHeight w:val="315"/>
        </w:trPr>
        <w:tc>
          <w:tcPr>
            <w:tcW w:w="5812" w:type="dxa"/>
            <w:shd w:val="clear" w:color="auto" w:fill="auto"/>
          </w:tcPr>
          <w:p w:rsidR="00755505" w:rsidRPr="00704833" w:rsidRDefault="00755505" w:rsidP="00F5736F">
            <w:pPr>
              <w:widowControl w:val="0"/>
              <w:autoSpaceDE w:val="0"/>
              <w:autoSpaceDN w:val="0"/>
              <w:adjustRightInd w:val="0"/>
            </w:pPr>
            <w:r w:rsidRPr="00704833">
              <w:t>S.3.9. Базисний період</w:t>
            </w:r>
          </w:p>
        </w:tc>
        <w:tc>
          <w:tcPr>
            <w:tcW w:w="8647" w:type="dxa"/>
            <w:shd w:val="clear" w:color="auto" w:fill="auto"/>
          </w:tcPr>
          <w:p w:rsidR="006D6C73" w:rsidRPr="00704833" w:rsidRDefault="008E2B00" w:rsidP="6FA82486">
            <w:pPr>
              <w:widowControl w:val="0"/>
              <w:autoSpaceDE w:val="0"/>
              <w:autoSpaceDN w:val="0"/>
              <w:adjustRightInd w:val="0"/>
              <w:ind w:firstLine="430"/>
              <w:jc w:val="both"/>
            </w:pPr>
            <w:r w:rsidRPr="00704833">
              <w:t>З цим ДСС не використовується поняття базисного періоду</w:t>
            </w:r>
            <w:r w:rsidR="00A00152" w:rsidRPr="00704833">
              <w:t>.</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S.4. Одиниця вимірювання</w:t>
            </w:r>
          </w:p>
        </w:tc>
        <w:tc>
          <w:tcPr>
            <w:tcW w:w="8647" w:type="dxa"/>
            <w:shd w:val="clear" w:color="auto" w:fill="auto"/>
          </w:tcPr>
          <w:p w:rsidR="00755505" w:rsidRPr="00704833" w:rsidRDefault="541699C8" w:rsidP="008741C6">
            <w:pPr>
              <w:widowControl w:val="0"/>
              <w:autoSpaceDE w:val="0"/>
              <w:autoSpaceDN w:val="0"/>
              <w:adjustRightInd w:val="0"/>
              <w:ind w:firstLine="430"/>
              <w:jc w:val="both"/>
            </w:pPr>
            <w:r w:rsidRPr="00704833">
              <w:rPr>
                <w:color w:val="000000" w:themeColor="text1"/>
              </w:rPr>
              <w:t xml:space="preserve">Тисяча </w:t>
            </w:r>
            <w:r w:rsidR="00424825" w:rsidRPr="00704833">
              <w:rPr>
                <w:color w:val="000000" w:themeColor="text1"/>
              </w:rPr>
              <w:t>доларів</w:t>
            </w:r>
            <w:r w:rsidR="00EE7429" w:rsidRPr="00704833">
              <w:rPr>
                <w:color w:val="000000" w:themeColor="text1"/>
              </w:rPr>
              <w:t xml:space="preserve"> з одним десятковим знаком</w:t>
            </w:r>
            <w:r w:rsidR="008741C6" w:rsidRPr="00704833">
              <w:rPr>
                <w:color w:val="000000" w:themeColor="text1"/>
              </w:rPr>
              <w:t>, частка, відсоток</w:t>
            </w:r>
            <w:r w:rsidR="00A00152" w:rsidRPr="00704833">
              <w:rPr>
                <w:color w:val="000000" w:themeColor="text1"/>
              </w:rPr>
              <w:t>.</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S.5. Звітний період</w:t>
            </w:r>
          </w:p>
        </w:tc>
        <w:tc>
          <w:tcPr>
            <w:tcW w:w="8647" w:type="dxa"/>
            <w:shd w:val="clear" w:color="auto" w:fill="auto"/>
          </w:tcPr>
          <w:p w:rsidR="00510EBD" w:rsidRPr="00704833" w:rsidRDefault="00A00152" w:rsidP="009F6B0E">
            <w:pPr>
              <w:widowControl w:val="0"/>
              <w:autoSpaceDE w:val="0"/>
              <w:autoSpaceDN w:val="0"/>
              <w:adjustRightInd w:val="0"/>
              <w:ind w:firstLine="430"/>
              <w:jc w:val="both"/>
            </w:pPr>
            <w:r w:rsidRPr="00704833">
              <w:t>Останній звітним періодом цього ДСС, за який поширено результати уважається 202</w:t>
            </w:r>
            <w:r w:rsidR="00EB6AF6" w:rsidRPr="00704833">
              <w:t>3</w:t>
            </w:r>
            <w:r w:rsidRPr="00704833">
              <w:t xml:space="preserve"> р</w:t>
            </w:r>
            <w:r w:rsidR="00424825" w:rsidRPr="00704833">
              <w:t>ік</w:t>
            </w:r>
            <w:r w:rsidR="00B3580D" w:rsidRPr="00704833">
              <w:t xml:space="preserve"> (</w:t>
            </w:r>
            <w:r w:rsidR="00EB6AF6" w:rsidRPr="00704833">
              <w:t>попередн</w:t>
            </w:r>
            <w:r w:rsidR="00B3580D" w:rsidRPr="00704833">
              <w:t>і дані)</w:t>
            </w:r>
            <w:r w:rsidRPr="00704833">
              <w:t>.</w:t>
            </w:r>
          </w:p>
        </w:tc>
      </w:tr>
      <w:tr w:rsidR="00755505" w:rsidRPr="00704833" w:rsidTr="006023BA">
        <w:tc>
          <w:tcPr>
            <w:tcW w:w="14459" w:type="dxa"/>
            <w:gridSpan w:val="2"/>
            <w:shd w:val="clear" w:color="auto" w:fill="auto"/>
          </w:tcPr>
          <w:p w:rsidR="00755505" w:rsidRPr="00704833" w:rsidRDefault="00755505" w:rsidP="00F5736F">
            <w:pPr>
              <w:widowControl w:val="0"/>
              <w:autoSpaceDE w:val="0"/>
              <w:autoSpaceDN w:val="0"/>
              <w:adjustRightInd w:val="0"/>
            </w:pPr>
            <w:r w:rsidRPr="00704833">
              <w:lastRenderedPageBreak/>
              <w:t>S.6. Підстава для проведення спостереження</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S.6.1. Законодавчі акти й угоди</w:t>
            </w:r>
          </w:p>
        </w:tc>
        <w:tc>
          <w:tcPr>
            <w:tcW w:w="8647" w:type="dxa"/>
            <w:shd w:val="clear" w:color="auto" w:fill="auto"/>
          </w:tcPr>
          <w:p w:rsidR="00755505" w:rsidRPr="00704833" w:rsidRDefault="00755505" w:rsidP="00F5736F">
            <w:pPr>
              <w:ind w:firstLine="430"/>
              <w:jc w:val="both"/>
            </w:pPr>
            <w:r w:rsidRPr="00704833">
              <w:t>Європейський рівень:</w:t>
            </w:r>
          </w:p>
          <w:p w:rsidR="00A00152" w:rsidRPr="00704833" w:rsidRDefault="00834E46" w:rsidP="00834E46">
            <w:pPr>
              <w:ind w:firstLine="430"/>
              <w:jc w:val="both"/>
            </w:pPr>
            <w:r w:rsidRPr="00704833">
              <w:t>Регламент (ЄС) №</w:t>
            </w:r>
            <w:r w:rsidR="00EE7429" w:rsidRPr="00704833">
              <w:t> </w:t>
            </w:r>
            <w:r w:rsidRPr="00704833">
              <w:t>184/2005 від 12 січня 2005 року Європейського Парламенту та Ради про статистику Співтовариства щодо платіжного балансу, міжнародної торгівлі послугами та прямих іноземних інвестицій</w:t>
            </w:r>
            <w:r w:rsidR="00904C96" w:rsidRPr="00704833">
              <w:t xml:space="preserve"> (</w:t>
            </w:r>
            <w:hyperlink r:id="rId12" w:history="1">
              <w:r w:rsidR="00B3580D" w:rsidRPr="00704833">
                <w:rPr>
                  <w:rStyle w:val="a3"/>
                  <w:color w:val="auto"/>
                  <w:u w:val="none"/>
                </w:rPr>
                <w:t>https://eur-lex.europa.eu/legalcontent/EN/TXT/PDF/?uri</w:t>
              </w:r>
            </w:hyperlink>
            <w:r w:rsidR="00904C96" w:rsidRPr="00704833">
              <w:t>=CELEX:32005R0184&amp;from=EN)</w:t>
            </w:r>
            <w:r w:rsidR="00A00152" w:rsidRPr="00704833">
              <w:t>;</w:t>
            </w:r>
          </w:p>
          <w:p w:rsidR="00B3580D" w:rsidRPr="00704833" w:rsidRDefault="00B3580D" w:rsidP="00B3580D">
            <w:pPr>
              <w:tabs>
                <w:tab w:val="left" w:pos="567"/>
              </w:tabs>
              <w:spacing w:line="252" w:lineRule="auto"/>
              <w:ind w:firstLine="567"/>
              <w:jc w:val="both"/>
            </w:pPr>
            <w:r w:rsidRPr="00704833">
              <w:t xml:space="preserve">Регламент (ЄС) № 223/2009 Європейського Парламенту та Ради від 11 березня 2009 року щодоєвропейської статистики </w:t>
            </w:r>
            <w:hyperlink r:id="rId13" w:history="1">
              <w:r w:rsidRPr="00704833">
                <w:rPr>
                  <w:rStyle w:val="a3"/>
                  <w:color w:val="auto"/>
                  <w:u w:val="none"/>
                </w:rPr>
                <w:t>(https://eur-lex.europa.eu/legal-content/EN/ALL/?uri=CELEX% 3A32009 R0223</w:t>
              </w:r>
            </w:hyperlink>
            <w:r w:rsidRPr="00704833">
              <w:rPr>
                <w:rStyle w:val="a3"/>
                <w:color w:val="auto"/>
                <w:u w:val="none"/>
              </w:rPr>
              <w:t>);</w:t>
            </w:r>
          </w:p>
          <w:p w:rsidR="00834E46" w:rsidRPr="00704833" w:rsidRDefault="00834E46" w:rsidP="00834E46">
            <w:pPr>
              <w:ind w:firstLine="430"/>
              <w:jc w:val="both"/>
            </w:pPr>
            <w:r w:rsidRPr="00704833">
              <w:t>Регламент (ЄС) №</w:t>
            </w:r>
            <w:r w:rsidR="00EE7429" w:rsidRPr="00704833">
              <w:t> </w:t>
            </w:r>
            <w:r w:rsidRPr="00704833">
              <w:t xml:space="preserve">555/2012 від 22 червня 2012 року про статистику Співтовариства щодо платіжного балансу, міжнародної торгівлі послугами та прямих іноземних інвестицій, щодо оновлення </w:t>
            </w:r>
            <w:r w:rsidR="00F921F0" w:rsidRPr="00704833">
              <w:br/>
            </w:r>
            <w:r w:rsidRPr="00704833">
              <w:t xml:space="preserve">вимог та визначень даних </w:t>
            </w:r>
            <w:r w:rsidR="00C07FD4" w:rsidRPr="00704833">
              <w:t>(</w:t>
            </w:r>
            <w:hyperlink r:id="rId14" w:history="1">
              <w:r w:rsidR="00A33B8F" w:rsidRPr="00704833">
                <w:rPr>
                  <w:rStyle w:val="a3"/>
                  <w:color w:val="auto"/>
                  <w:u w:val="none"/>
                </w:rPr>
                <w:t>https://eur-lex.europa.eu/legal-content/EN/TXT/PDF/?uri=CELEX:32005R0184&amp;from=EN</w:t>
              </w:r>
            </w:hyperlink>
            <w:r w:rsidR="00C07FD4" w:rsidRPr="00704833">
              <w:t>)</w:t>
            </w:r>
            <w:r w:rsidRPr="00704833">
              <w:t>.</w:t>
            </w:r>
          </w:p>
          <w:p w:rsidR="00A33B8F" w:rsidRPr="00704833" w:rsidRDefault="00A33B8F" w:rsidP="00834E46">
            <w:pPr>
              <w:ind w:firstLine="430"/>
              <w:jc w:val="both"/>
            </w:pPr>
            <w:r w:rsidRPr="00704833">
              <w:t>Керівництв</w:t>
            </w:r>
            <w:r w:rsidR="00A00152" w:rsidRPr="00704833">
              <w:t>о</w:t>
            </w:r>
            <w:r w:rsidRPr="00704833">
              <w:t xml:space="preserve"> з платіжного балансу та міжнародної інвестиційної позиції Міжнародного валютного фонду (6-те видання, 2009) </w:t>
            </w:r>
            <w:r w:rsidR="008522DB" w:rsidRPr="00704833">
              <w:t>(</w:t>
            </w:r>
            <w:hyperlink r:id="rId15" w:history="1">
              <w:r w:rsidR="008522DB" w:rsidRPr="00704833">
                <w:rPr>
                  <w:rStyle w:val="a3"/>
                  <w:color w:val="auto"/>
                  <w:u w:val="none"/>
                </w:rPr>
                <w:t>https://www.imf.org/external/pubs/ft/bop/2007/pdf/bpm6.pdf</w:t>
              </w:r>
            </w:hyperlink>
            <w:r w:rsidR="008522DB" w:rsidRPr="00704833">
              <w:t xml:space="preserve">), </w:t>
            </w:r>
            <w:r w:rsidRPr="00704833">
              <w:t>та Еталонному визначенні ОЕСР для іноземних прямих інвестицій (4-те видання,</w:t>
            </w:r>
            <w:r w:rsidR="00B3580D" w:rsidRPr="00704833">
              <w:t> </w:t>
            </w:r>
            <w:r w:rsidRPr="00704833">
              <w:t>2008)</w:t>
            </w:r>
            <w:r w:rsidR="008522DB" w:rsidRPr="00704833">
              <w:t>(</w:t>
            </w:r>
            <w:r w:rsidR="008522DB" w:rsidRPr="00704833">
              <w:rPr>
                <w:rStyle w:val="a3"/>
                <w:color w:val="auto"/>
                <w:u w:val="none"/>
              </w:rPr>
              <w:t>https://www.oecd.org/daf/inv/investmentstatisticsandanalysis/40193734.pdf</w:t>
            </w:r>
            <w:r w:rsidR="008522DB" w:rsidRPr="00704833">
              <w:t>).</w:t>
            </w:r>
          </w:p>
          <w:p w:rsidR="00755505" w:rsidRPr="00704833" w:rsidRDefault="00755505" w:rsidP="00F5736F">
            <w:pPr>
              <w:ind w:firstLine="430"/>
              <w:jc w:val="both"/>
            </w:pPr>
            <w:r w:rsidRPr="00704833">
              <w:t>Національний рівень:</w:t>
            </w:r>
          </w:p>
          <w:p w:rsidR="00C07FD4" w:rsidRPr="00704833" w:rsidRDefault="005B32C9" w:rsidP="00131B77">
            <w:pPr>
              <w:ind w:firstLine="454"/>
              <w:jc w:val="both"/>
            </w:pPr>
            <w:r w:rsidRPr="00704833">
              <w:t>Закон України "Про офіційну статистику"</w:t>
            </w:r>
            <w:r w:rsidR="00C07FD4" w:rsidRPr="00704833">
              <w:t xml:space="preserve"> (https://zakon.rada.gov.ua/laws/show/2524-20#Text);</w:t>
            </w:r>
          </w:p>
          <w:p w:rsidR="00C07FD4" w:rsidRPr="00704833" w:rsidRDefault="005B32C9" w:rsidP="00131B77">
            <w:pPr>
              <w:ind w:firstLine="454"/>
              <w:jc w:val="both"/>
            </w:pPr>
            <w:r w:rsidRPr="00704833">
              <w:t>постанова Кабінету Міністрів України і Національного банку України від 17 березня 2000 року №</w:t>
            </w:r>
            <w:r w:rsidR="00F304B0" w:rsidRPr="00704833">
              <w:t> </w:t>
            </w:r>
            <w:r w:rsidRPr="00704833">
              <w:t>517 "Про складання платіжного балансу України"</w:t>
            </w:r>
            <w:r w:rsidR="00C07FD4" w:rsidRPr="00704833">
              <w:t xml:space="preserve"> (https://zakon.rada.gov.ua/laws/show/517-2000-</w:t>
            </w:r>
            <w:r w:rsidR="00C07FD4" w:rsidRPr="00704833">
              <w:lastRenderedPageBreak/>
              <w:t>%D0%BF#Text);</w:t>
            </w:r>
          </w:p>
          <w:p w:rsidR="00755505" w:rsidRPr="00704833" w:rsidRDefault="005B32C9" w:rsidP="00131B77">
            <w:pPr>
              <w:ind w:firstLine="454"/>
              <w:jc w:val="both"/>
            </w:pPr>
            <w:r w:rsidRPr="00704833">
              <w:t>план державних статистичних спостережень</w:t>
            </w:r>
            <w:r w:rsidR="006326B1">
              <w:rPr>
                <w:lang w:val="en-US"/>
              </w:rPr>
              <w:t xml:space="preserve"> </w:t>
            </w:r>
            <w:r w:rsidR="002F72F2" w:rsidRPr="005F638A">
              <w:t>на відповідний рік</w:t>
            </w:r>
            <w:r w:rsidRPr="00704833">
              <w:t>, затверджений розпорядженням Кабінету Міністрів України</w:t>
            </w:r>
            <w:r w:rsidR="00A00152" w:rsidRPr="00704833">
              <w:t>.</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lastRenderedPageBreak/>
              <w:t>S.6.2. Обмін інформацією</w:t>
            </w:r>
          </w:p>
        </w:tc>
        <w:tc>
          <w:tcPr>
            <w:tcW w:w="8647" w:type="dxa"/>
            <w:shd w:val="clear" w:color="auto" w:fill="auto"/>
          </w:tcPr>
          <w:p w:rsidR="00CC6A5A" w:rsidRPr="00704833" w:rsidRDefault="00A55606" w:rsidP="6FA82486">
            <w:pPr>
              <w:ind w:firstLine="430"/>
              <w:jc w:val="both"/>
            </w:pPr>
            <w:r w:rsidRPr="00704833">
              <w:t>Перелік угод, що сприяють</w:t>
            </w:r>
            <w:r w:rsidR="006326B1">
              <w:rPr>
                <w:lang w:val="en-US"/>
              </w:rPr>
              <w:t xml:space="preserve"> </w:t>
            </w:r>
            <w:proofErr w:type="spellStart"/>
            <w:r w:rsidRPr="00704833">
              <w:t>взаємообміну</w:t>
            </w:r>
            <w:proofErr w:type="spellEnd"/>
            <w:r w:rsidRPr="00704833">
              <w:t xml:space="preserve"> інформаційними ресурсами</w:t>
            </w:r>
            <w:r w:rsidR="00CC6A5A" w:rsidRPr="00704833">
              <w:t>:</w:t>
            </w:r>
          </w:p>
          <w:p w:rsidR="00B3580D" w:rsidRPr="00704833" w:rsidRDefault="00CB5640" w:rsidP="00D91622">
            <w:pPr>
              <w:pStyle w:val="a4"/>
              <w:numPr>
                <w:ilvl w:val="0"/>
                <w:numId w:val="11"/>
              </w:numPr>
              <w:jc w:val="both"/>
            </w:pPr>
            <w:r w:rsidRPr="00704833">
              <w:t>З</w:t>
            </w:r>
            <w:r w:rsidR="00895792" w:rsidRPr="00704833">
              <w:t>НБУ</w:t>
            </w:r>
            <w:r w:rsidR="00FA755D" w:rsidRPr="00704833">
              <w:t xml:space="preserve"> від </w:t>
            </w:r>
            <w:r w:rsidR="000D35E1" w:rsidRPr="00704833">
              <w:t>31.10.2024 № B/31-0009/135798</w:t>
            </w:r>
            <w:r w:rsidR="00B3580D" w:rsidRPr="00704833">
              <w:t>;</w:t>
            </w:r>
          </w:p>
          <w:p w:rsidR="00B3580D" w:rsidRPr="00704833" w:rsidRDefault="00A55606" w:rsidP="00D91622">
            <w:pPr>
              <w:pStyle w:val="a4"/>
              <w:numPr>
                <w:ilvl w:val="0"/>
                <w:numId w:val="11"/>
              </w:numPr>
              <w:jc w:val="both"/>
            </w:pPr>
            <w:r w:rsidRPr="00704833">
              <w:t xml:space="preserve">з </w:t>
            </w:r>
            <w:r w:rsidR="00B3580D" w:rsidRPr="00704833">
              <w:t>Адміністрацією Державної прикордонної служби України від 24.04.2024№ 17;</w:t>
            </w:r>
          </w:p>
          <w:p w:rsidR="007B5F5A" w:rsidRDefault="00A55606" w:rsidP="00D91622">
            <w:pPr>
              <w:pStyle w:val="a4"/>
              <w:numPr>
                <w:ilvl w:val="0"/>
                <w:numId w:val="11"/>
              </w:numPr>
              <w:jc w:val="both"/>
            </w:pPr>
            <w:r w:rsidRPr="00704833">
              <w:t xml:space="preserve">з </w:t>
            </w:r>
            <w:r w:rsidR="007B5F5A" w:rsidRPr="00704833">
              <w:t>Мін</w:t>
            </w:r>
            <w:r w:rsidR="00586246" w:rsidRPr="00704833">
              <w:t xml:space="preserve">істерством </w:t>
            </w:r>
            <w:r w:rsidR="007B5F5A" w:rsidRPr="00704833">
              <w:t>економік</w:t>
            </w:r>
            <w:r w:rsidR="00586246" w:rsidRPr="00704833">
              <w:t>и України від 23.08.2024 № 30-14/32</w:t>
            </w:r>
            <w:r w:rsidR="00CB5640">
              <w:t>;</w:t>
            </w:r>
          </w:p>
          <w:p w:rsidR="00CB5640" w:rsidRDefault="00CB5640" w:rsidP="00D91622">
            <w:pPr>
              <w:pStyle w:val="a4"/>
              <w:numPr>
                <w:ilvl w:val="0"/>
                <w:numId w:val="11"/>
              </w:numPr>
              <w:jc w:val="both"/>
            </w:pPr>
            <w:r w:rsidRPr="00704833">
              <w:t>з Державною службою експортного контролю Укра</w:t>
            </w:r>
            <w:r w:rsidR="002F72F2">
              <w:t>їни від 21.03.2024</w:t>
            </w:r>
            <w:r w:rsidR="005F638A">
              <w:t>.</w:t>
            </w:r>
          </w:p>
          <w:p w:rsidR="002F72F2" w:rsidRPr="004F0CC8" w:rsidRDefault="002F72F2" w:rsidP="002F72F2">
            <w:pPr>
              <w:autoSpaceDE w:val="0"/>
              <w:autoSpaceDN w:val="0"/>
              <w:adjustRightInd w:val="0"/>
              <w:ind w:firstLine="567"/>
              <w:jc w:val="both"/>
              <w:rPr>
                <w:color w:val="000000"/>
                <w:spacing w:val="-2"/>
              </w:rPr>
            </w:pPr>
            <w:r w:rsidRPr="005F638A">
              <w:rPr>
                <w:color w:val="000000"/>
                <w:spacing w:val="-2"/>
              </w:rPr>
              <w:t>Інформацію за результатами ДСС Держстат надає:</w:t>
            </w:r>
          </w:p>
          <w:p w:rsidR="00CB5640" w:rsidRDefault="00CB5640" w:rsidP="00D91622">
            <w:pPr>
              <w:pStyle w:val="a4"/>
              <w:numPr>
                <w:ilvl w:val="0"/>
                <w:numId w:val="11"/>
              </w:numPr>
              <w:jc w:val="both"/>
            </w:pPr>
            <w:r w:rsidRPr="00704833">
              <w:t>за запитами користувачів статистичної інформації у порядку та на умовах, визначених чинним законодавством;</w:t>
            </w:r>
          </w:p>
          <w:p w:rsidR="000054BF" w:rsidRPr="00704833" w:rsidRDefault="00CB5640" w:rsidP="00CB5640">
            <w:pPr>
              <w:pStyle w:val="a4"/>
              <w:numPr>
                <w:ilvl w:val="0"/>
                <w:numId w:val="11"/>
              </w:numPr>
              <w:jc w:val="both"/>
            </w:pPr>
            <w:r w:rsidRPr="00704833">
              <w:t>міжнародним організаціям (Статистичному відділу ООН) у межах виконання міжнародних зобов’язань України, а також статистичним службам інших країн за їхніми запитами</w:t>
            </w:r>
            <w:r>
              <w:t>.</w:t>
            </w:r>
          </w:p>
        </w:tc>
      </w:tr>
      <w:tr w:rsidR="00755505" w:rsidRPr="00704833" w:rsidTr="006023BA">
        <w:tc>
          <w:tcPr>
            <w:tcW w:w="14459" w:type="dxa"/>
            <w:gridSpan w:val="2"/>
            <w:shd w:val="clear" w:color="auto" w:fill="auto"/>
          </w:tcPr>
          <w:p w:rsidR="00755505" w:rsidRPr="00704833" w:rsidRDefault="00755505" w:rsidP="00F5736F">
            <w:pPr>
              <w:widowControl w:val="0"/>
              <w:autoSpaceDE w:val="0"/>
              <w:autoSpaceDN w:val="0"/>
              <w:adjustRightInd w:val="0"/>
            </w:pPr>
            <w:r w:rsidRPr="00704833">
              <w:t>S.7. Конфіденційність</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S.7.1. Конфіденційність ‒ політика</w:t>
            </w:r>
          </w:p>
        </w:tc>
        <w:tc>
          <w:tcPr>
            <w:tcW w:w="8647" w:type="dxa"/>
            <w:shd w:val="clear" w:color="auto" w:fill="auto"/>
          </w:tcPr>
          <w:p w:rsidR="00755505" w:rsidRPr="00704833" w:rsidRDefault="00755505" w:rsidP="006843D6">
            <w:pPr>
              <w:spacing w:line="233" w:lineRule="auto"/>
              <w:ind w:firstLine="430"/>
              <w:jc w:val="both"/>
            </w:pPr>
            <w:r w:rsidRPr="00704833">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CD674A" w:rsidRPr="00704833">
              <w:t>глави V</w:t>
            </w:r>
            <w:r w:rsidRPr="00704833">
              <w:t>Регламенту (ЄС) №</w:t>
            </w:r>
            <w:r w:rsidR="00B94841" w:rsidRPr="00704833">
              <w:t> </w:t>
            </w:r>
            <w:r w:rsidRPr="00704833">
              <w:t xml:space="preserve">223/2009 Європейського Парламенту та Ради від 11 березня 2009 </w:t>
            </w:r>
            <w:r w:rsidRPr="005F638A">
              <w:t xml:space="preserve">року </w:t>
            </w:r>
            <w:r w:rsidR="004F0D83" w:rsidRPr="005F638A">
              <w:t>про європейську статистику</w:t>
            </w:r>
            <w:r w:rsidRPr="00704833">
              <w:t xml:space="preserve">, а також </w:t>
            </w:r>
            <w:r w:rsidR="00145EF8" w:rsidRPr="00704833">
              <w:t>відповідно до вимог статей</w:t>
            </w:r>
            <w:r w:rsidR="00D56420" w:rsidRPr="00704833">
              <w:t>25, 29, 30, 31</w:t>
            </w:r>
            <w:r w:rsidR="00145EF8" w:rsidRPr="00704833">
              <w:t xml:space="preserve">,37 </w:t>
            </w:r>
            <w:r w:rsidR="00D56420" w:rsidRPr="00704833">
              <w:t>Закону України "Про офіційну статистику", статей 18, 21 Закону України "Про інформацію", статей 6, 7 Закону України "Про доступ до публічної інформації</w:t>
            </w:r>
            <w:r w:rsidR="00932209" w:rsidRPr="00704833">
              <w:t>"</w:t>
            </w:r>
            <w:r w:rsidR="00D56420" w:rsidRPr="00704833">
              <w:t>, статей 5, 6, 7, 24 Закону України "Про захист персональних даних".</w:t>
            </w:r>
          </w:p>
          <w:p w:rsidR="001F1D4B" w:rsidRPr="00704833" w:rsidRDefault="004F0D83" w:rsidP="006326B1">
            <w:pPr>
              <w:pStyle w:val="Default"/>
              <w:ind w:firstLine="567"/>
              <w:jc w:val="both"/>
            </w:pPr>
            <w:r w:rsidRPr="004F0CC8">
              <w:rPr>
                <w:color w:val="auto"/>
                <w:sz w:val="28"/>
                <w:szCs w:val="28"/>
              </w:rPr>
              <w:lastRenderedPageBreak/>
              <w:t xml:space="preserve">Також забезпечення статистичної конфіденційності проведення ДСС відбувається з урахуванням основних принципів, </w:t>
            </w:r>
            <w:r w:rsidRPr="005F638A">
              <w:rPr>
                <w:color w:val="auto"/>
                <w:sz w:val="28"/>
                <w:szCs w:val="28"/>
              </w:rPr>
              <w:t>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затверджені наказом Держстату від 30 грудня 2022 року № 434, зареєстрованим у Міністерстві юстиції України 05 квітня 2023 року за № 573/39629.</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lastRenderedPageBreak/>
              <w:t>S.7.2. Конфіденційність ‒ обробка даних</w:t>
            </w:r>
          </w:p>
        </w:tc>
        <w:tc>
          <w:tcPr>
            <w:tcW w:w="8647" w:type="dxa"/>
            <w:shd w:val="clear" w:color="auto" w:fill="auto"/>
          </w:tcPr>
          <w:p w:rsidR="006425C4" w:rsidRPr="00704833" w:rsidRDefault="006425C4" w:rsidP="00C158F1">
            <w:pPr>
              <w:ind w:firstLine="454"/>
              <w:jc w:val="both"/>
            </w:pPr>
            <w:r w:rsidRPr="00704833">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CC1F7F" w:rsidRPr="00704833" w:rsidRDefault="00CC1F7F" w:rsidP="00D7569A">
            <w:pPr>
              <w:ind w:firstLine="454"/>
              <w:jc w:val="both"/>
            </w:pPr>
            <w:r w:rsidRPr="00704833">
              <w:t xml:space="preserve">Під час проведення ДСС реалізуються такі заходи щодо забезпечення статистичної конфіденційності: </w:t>
            </w:r>
          </w:p>
          <w:p w:rsidR="00AA67CE" w:rsidRPr="00704833" w:rsidRDefault="00AA67CE" w:rsidP="00AA67CE">
            <w:pPr>
              <w:ind w:firstLine="454"/>
              <w:jc w:val="both"/>
            </w:pPr>
            <w:r w:rsidRPr="00704833">
              <w:t>забезпечення конфіденційності адміністративних даних і використання їх виключно для статистичних цілей;</w:t>
            </w:r>
          </w:p>
          <w:p w:rsidR="00CC1F7F" w:rsidRPr="00704833" w:rsidRDefault="00CC1F7F" w:rsidP="00D7569A">
            <w:pPr>
              <w:ind w:firstLine="454"/>
              <w:jc w:val="both"/>
            </w:pPr>
            <w:r w:rsidRPr="00704833">
              <w:t>надання статистичної інформації, отриманої за результатами ДСС, користувачам у знеособленому вигляді;</w:t>
            </w:r>
          </w:p>
          <w:p w:rsidR="005B0A67" w:rsidRPr="00704833" w:rsidRDefault="00CC1F7F" w:rsidP="00D7569A">
            <w:pPr>
              <w:ind w:firstLine="454"/>
              <w:jc w:val="both"/>
            </w:pPr>
            <w:r w:rsidRPr="00704833">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r w:rsidR="00AA67CE" w:rsidRPr="00704833">
              <w:t>;</w:t>
            </w:r>
          </w:p>
          <w:p w:rsidR="00AA67CE" w:rsidRPr="00704833" w:rsidRDefault="00AA67CE" w:rsidP="00AA67CE">
            <w:pPr>
              <w:ind w:firstLine="454"/>
              <w:jc w:val="both"/>
            </w:pPr>
            <w:r w:rsidRPr="00704833">
              <w:t>нерозповсюдження статистичної інформації, яка була отримана під час проведення ДСС, уключаючи адміністративну й отриману із зовнішніх джерел, якщо є загроза розкриття первинних даних.</w:t>
            </w:r>
          </w:p>
          <w:p w:rsidR="00AA67CE" w:rsidRPr="00704833" w:rsidRDefault="00AA67CE" w:rsidP="00AA67CE">
            <w:pPr>
              <w:ind w:firstLine="607"/>
              <w:jc w:val="both"/>
              <w:rPr>
                <w:lang w:eastAsia="ru-RU"/>
              </w:rPr>
            </w:pPr>
            <w:r w:rsidRPr="00704833">
              <w:rPr>
                <w:lang w:eastAsia="ru-RU"/>
              </w:rPr>
              <w:t>Контроль ризику розкриття статистичних даних здійснюється для кожного з показників, що формуються за результатами ДССза:</w:t>
            </w:r>
          </w:p>
          <w:p w:rsidR="00AA67CE" w:rsidRPr="00704833" w:rsidRDefault="00AA67CE" w:rsidP="00AA67CE">
            <w:pPr>
              <w:ind w:firstLine="607"/>
              <w:jc w:val="both"/>
              <w:rPr>
                <w:lang w:eastAsia="ru-RU"/>
              </w:rPr>
            </w:pPr>
            <w:r w:rsidRPr="00704833">
              <w:rPr>
                <w:lang w:eastAsia="ru-RU"/>
              </w:rPr>
              <w:t xml:space="preserve"> правилом порогового значення, згідно з яким значення </w:t>
            </w:r>
            <w:r w:rsidRPr="00704833">
              <w:rPr>
                <w:lang w:eastAsia="ru-RU"/>
              </w:rPr>
              <w:lastRenderedPageBreak/>
              <w:t>статистичного показника є вразливим, якщо воно розраховано на базі занадто малої кількості статистичних одиниць (три та менше);</w:t>
            </w:r>
          </w:p>
          <w:p w:rsidR="00AA67CE" w:rsidRPr="00704833" w:rsidRDefault="00AA67CE" w:rsidP="00AA67CE">
            <w:pPr>
              <w:ind w:firstLine="607"/>
              <w:jc w:val="both"/>
              <w:rPr>
                <w:lang w:eastAsia="ru-RU"/>
              </w:rPr>
            </w:pPr>
            <w:r w:rsidRPr="00704833">
              <w:rPr>
                <w:lang w:eastAsia="ru-RU"/>
              </w:rPr>
              <w:t xml:space="preserve">правилом домінанти, відповідно до якого значення є вразливим, якщо значення частки однієї статистичної одиниці в показнику перевищує 80 відсотків або частка двох респондентів у ній перевищує 90 відсотків. </w:t>
            </w:r>
          </w:p>
          <w:p w:rsidR="00AA67CE" w:rsidRPr="00704833" w:rsidRDefault="00AA67CE" w:rsidP="00AA67CE">
            <w:pPr>
              <w:ind w:firstLine="454"/>
              <w:jc w:val="both"/>
              <w:rPr>
                <w:color w:val="FF0000"/>
              </w:rPr>
            </w:pPr>
            <w:r w:rsidRPr="00704833">
              <w:rPr>
                <w:lang w:eastAsia="ru-RU"/>
              </w:rP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755505" w:rsidRPr="00704833" w:rsidTr="006023BA">
        <w:tc>
          <w:tcPr>
            <w:tcW w:w="14459" w:type="dxa"/>
            <w:gridSpan w:val="2"/>
            <w:shd w:val="clear" w:color="auto" w:fill="auto"/>
          </w:tcPr>
          <w:p w:rsidR="00755505" w:rsidRPr="00704833" w:rsidRDefault="00755505" w:rsidP="00F5736F">
            <w:pPr>
              <w:widowControl w:val="0"/>
              <w:autoSpaceDE w:val="0"/>
              <w:autoSpaceDN w:val="0"/>
              <w:adjustRightInd w:val="0"/>
            </w:pPr>
            <w:r w:rsidRPr="00704833">
              <w:lastRenderedPageBreak/>
              <w:t>S.8. Політика оприлюднення</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S.8.1. Календар оприлюднення інформації</w:t>
            </w:r>
          </w:p>
        </w:tc>
        <w:tc>
          <w:tcPr>
            <w:tcW w:w="8647" w:type="dxa"/>
            <w:shd w:val="clear" w:color="auto" w:fill="auto"/>
          </w:tcPr>
          <w:p w:rsidR="00755505" w:rsidRPr="00704833" w:rsidRDefault="00AA67CE" w:rsidP="00F304B0">
            <w:pPr>
              <w:ind w:firstLine="458"/>
              <w:jc w:val="both"/>
            </w:pPr>
            <w:r w:rsidRPr="00704833">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t>S.8.2. Доступ до календаря оприлюднення інформації</w:t>
            </w:r>
          </w:p>
        </w:tc>
        <w:tc>
          <w:tcPr>
            <w:tcW w:w="8647" w:type="dxa"/>
            <w:shd w:val="clear" w:color="auto" w:fill="auto"/>
          </w:tcPr>
          <w:p w:rsidR="00486066" w:rsidRPr="00704833" w:rsidRDefault="00486066" w:rsidP="00486066">
            <w:pPr>
              <w:pStyle w:val="Default"/>
              <w:ind w:firstLine="454"/>
              <w:jc w:val="both"/>
              <w:rPr>
                <w:color w:val="auto"/>
                <w:sz w:val="28"/>
                <w:szCs w:val="28"/>
              </w:rPr>
            </w:pPr>
            <w:r w:rsidRPr="00704833">
              <w:rPr>
                <w:color w:val="auto"/>
                <w:sz w:val="28"/>
                <w:szCs w:val="28"/>
              </w:rPr>
              <w:t xml:space="preserve">Результати ДСС оприлюднюються відповідно до календаря оприлюднення інформації. </w:t>
            </w:r>
          </w:p>
          <w:p w:rsidR="00486066" w:rsidRPr="00704833" w:rsidRDefault="00486066" w:rsidP="00486066">
            <w:pPr>
              <w:pStyle w:val="Default"/>
              <w:ind w:firstLine="454"/>
              <w:jc w:val="both"/>
              <w:rPr>
                <w:color w:val="auto"/>
                <w:sz w:val="28"/>
                <w:szCs w:val="28"/>
              </w:rPr>
            </w:pPr>
            <w:r w:rsidRPr="00704833">
              <w:rPr>
                <w:color w:val="auto"/>
                <w:sz w:val="28"/>
                <w:szCs w:val="28"/>
              </w:rPr>
              <w:t xml:space="preserve">Річний календар оприлюднення інформації, розміщений на офіційному </w:t>
            </w:r>
            <w:proofErr w:type="spellStart"/>
            <w:r w:rsidRPr="00704833">
              <w:rPr>
                <w:color w:val="auto"/>
                <w:sz w:val="28"/>
                <w:szCs w:val="28"/>
              </w:rPr>
              <w:t>вебсайті</w:t>
            </w:r>
            <w:proofErr w:type="spellEnd"/>
            <w:r w:rsidR="00185532">
              <w:rPr>
                <w:color w:val="auto"/>
                <w:sz w:val="28"/>
                <w:szCs w:val="28"/>
                <w:lang w:val="en-US"/>
              </w:rPr>
              <w:t xml:space="preserve"> </w:t>
            </w:r>
            <w:proofErr w:type="spellStart"/>
            <w:r w:rsidRPr="00704833">
              <w:rPr>
                <w:color w:val="auto"/>
                <w:sz w:val="28"/>
                <w:szCs w:val="28"/>
              </w:rPr>
              <w:t>Держстату</w:t>
            </w:r>
            <w:proofErr w:type="spellEnd"/>
            <w:r w:rsidR="00185532">
              <w:rPr>
                <w:color w:val="auto"/>
                <w:sz w:val="28"/>
                <w:szCs w:val="28"/>
                <w:lang w:val="en-US"/>
              </w:rPr>
              <w:t xml:space="preserve"> </w:t>
            </w:r>
            <w:r w:rsidRPr="00704833">
              <w:rPr>
                <w:color w:val="000000" w:themeColor="text1"/>
                <w:sz w:val="28"/>
                <w:szCs w:val="28"/>
              </w:rPr>
              <w:t>(</w:t>
            </w:r>
            <w:hyperlink r:id="rId16" w:history="1">
              <w:r w:rsidRPr="00704833">
                <w:rPr>
                  <w:color w:val="000000" w:themeColor="text1"/>
                  <w:sz w:val="28"/>
                  <w:szCs w:val="28"/>
                </w:rPr>
                <w:t>www.ukrstat.gov.ua</w:t>
              </w:r>
            </w:hyperlink>
            <w:r w:rsidRPr="00704833">
              <w:rPr>
                <w:color w:val="000000" w:themeColor="text1"/>
                <w:sz w:val="28"/>
                <w:szCs w:val="28"/>
              </w:rPr>
              <w:t xml:space="preserve">) у </w:t>
            </w:r>
            <w:r w:rsidRPr="00704833">
              <w:rPr>
                <w:color w:val="auto"/>
                <w:sz w:val="28"/>
                <w:szCs w:val="28"/>
              </w:rPr>
              <w:t>розділі "Діяльність"/"Плани та графіки роботи" та в розділі "Статистична інформація", щомісячний календар – на головній сторінці.</w:t>
            </w:r>
          </w:p>
          <w:p w:rsidR="00486066" w:rsidRPr="00704833" w:rsidRDefault="00486066" w:rsidP="00486066">
            <w:pPr>
              <w:pStyle w:val="Default"/>
              <w:ind w:firstLine="454"/>
              <w:jc w:val="both"/>
              <w:rPr>
                <w:color w:val="auto"/>
                <w:sz w:val="28"/>
                <w:szCs w:val="28"/>
              </w:rPr>
            </w:pPr>
            <w:r w:rsidRPr="00704833">
              <w:rPr>
                <w:color w:val="auto"/>
                <w:sz w:val="28"/>
                <w:szCs w:val="28"/>
              </w:rPr>
              <w:t xml:space="preserve">В умовах дії воєнного стану, починаючи зі звіту за І квартал 2022 року, статистична інформація поширюється із запізненням та не в повному обсязі (наприклад, за регіонами, за видами послуг). </w:t>
            </w:r>
          </w:p>
          <w:p w:rsidR="008A09DE" w:rsidRPr="00704833" w:rsidRDefault="00486066" w:rsidP="00486066">
            <w:pPr>
              <w:widowControl w:val="0"/>
              <w:autoSpaceDE w:val="0"/>
              <w:autoSpaceDN w:val="0"/>
              <w:adjustRightInd w:val="0"/>
              <w:ind w:firstLine="458"/>
              <w:jc w:val="both"/>
            </w:pPr>
            <w:r w:rsidRPr="00704833">
              <w:t xml:space="preserve">У терміни, передбачені календарем, для користувачів розміщується повідомлення про неможливість оприлюднення </w:t>
            </w:r>
            <w:r w:rsidRPr="00704833">
              <w:lastRenderedPageBreak/>
              <w:t>інформації у зв’язку із воєнним станом. У випадку поширення інформації в рубриці "Новини" з’являється відповідне повідомлення.</w:t>
            </w:r>
          </w:p>
        </w:tc>
      </w:tr>
      <w:tr w:rsidR="00755505" w:rsidRPr="00704833" w:rsidTr="006023BA">
        <w:tc>
          <w:tcPr>
            <w:tcW w:w="5812" w:type="dxa"/>
            <w:shd w:val="clear" w:color="auto" w:fill="auto"/>
          </w:tcPr>
          <w:p w:rsidR="00755505" w:rsidRPr="00704833" w:rsidRDefault="00755505" w:rsidP="00F5736F">
            <w:pPr>
              <w:widowControl w:val="0"/>
              <w:autoSpaceDE w:val="0"/>
              <w:autoSpaceDN w:val="0"/>
              <w:adjustRightInd w:val="0"/>
            </w:pPr>
            <w:r w:rsidRPr="00704833">
              <w:lastRenderedPageBreak/>
              <w:t>S.8.3. Доступ користувача до інформації</w:t>
            </w:r>
          </w:p>
        </w:tc>
        <w:tc>
          <w:tcPr>
            <w:tcW w:w="8647" w:type="dxa"/>
            <w:shd w:val="clear" w:color="auto" w:fill="auto"/>
          </w:tcPr>
          <w:p w:rsidR="0083689C" w:rsidRPr="004A58C9" w:rsidRDefault="0083689C" w:rsidP="0083689C">
            <w:pPr>
              <w:ind w:firstLine="459"/>
              <w:jc w:val="both"/>
              <w:rPr>
                <w:color w:val="000000"/>
              </w:rPr>
            </w:pPr>
            <w:r w:rsidRPr="004A58C9">
              <w:rPr>
                <w:color w:val="000000"/>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rsidR="0083689C" w:rsidRPr="004A58C9" w:rsidRDefault="0083689C" w:rsidP="0083689C">
            <w:pPr>
              <w:ind w:firstLine="459"/>
              <w:jc w:val="both"/>
              <w:rPr>
                <w:color w:val="000000"/>
              </w:rPr>
            </w:pPr>
            <w:r w:rsidRPr="004A58C9">
              <w:rPr>
                <w:color w:val="000000"/>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w:t>
            </w:r>
            <w:proofErr w:type="spellStart"/>
            <w:r w:rsidRPr="004A58C9">
              <w:rPr>
                <w:color w:val="000000"/>
              </w:rPr>
              <w:t>вебсайті</w:t>
            </w:r>
            <w:proofErr w:type="spellEnd"/>
            <w:r w:rsidR="00185532">
              <w:rPr>
                <w:color w:val="000000"/>
                <w:lang w:val="en-US"/>
              </w:rPr>
              <w:t xml:space="preserve"> </w:t>
            </w:r>
            <w:proofErr w:type="spellStart"/>
            <w:r w:rsidRPr="004A58C9">
              <w:rPr>
                <w:color w:val="000000"/>
              </w:rPr>
              <w:t>Держстату</w:t>
            </w:r>
            <w:proofErr w:type="spellEnd"/>
            <w:r w:rsidRPr="004A58C9">
              <w:rPr>
                <w:color w:val="000000"/>
              </w:rPr>
              <w:t xml:space="preserve"> (www.ukrstat.gov.ua) у відповідних статистичних продуктах (статистична інформація, статистичні публікації тощо). </w:t>
            </w:r>
          </w:p>
          <w:p w:rsidR="0083689C" w:rsidRPr="004A58C9" w:rsidRDefault="0083689C" w:rsidP="0083689C">
            <w:pPr>
              <w:ind w:firstLine="459"/>
              <w:jc w:val="both"/>
              <w:rPr>
                <w:color w:val="000000"/>
              </w:rPr>
            </w:pPr>
            <w:r w:rsidRPr="004A58C9">
              <w:rPr>
                <w:color w:val="000000"/>
              </w:rPr>
              <w:t xml:space="preserve">Доступ користувачів до статистичної інформації відбувається відповідно до </w:t>
            </w:r>
            <w:r w:rsidRPr="004A58C9">
              <w:rPr>
                <w:rFonts w:eastAsia="Verdana" w:cs="Verdana"/>
                <w:color w:val="000000"/>
              </w:rPr>
              <w:t xml:space="preserve">Політики поширення офіційної державної статистичної інформації, </w:t>
            </w:r>
            <w:r w:rsidRPr="004A58C9">
              <w:rPr>
                <w:color w:val="000000"/>
              </w:rPr>
              <w:t xml:space="preserve">затвердженої наказом </w:t>
            </w:r>
            <w:proofErr w:type="spellStart"/>
            <w:r w:rsidRPr="004A58C9">
              <w:rPr>
                <w:color w:val="000000"/>
              </w:rPr>
              <w:t>Держстату</w:t>
            </w:r>
            <w:proofErr w:type="spellEnd"/>
            <w:r w:rsidRPr="004A58C9">
              <w:rPr>
                <w:color w:val="000000"/>
              </w:rPr>
              <w:t xml:space="preserve"> від 21 грудня 2022 року </w:t>
            </w:r>
            <w:r w:rsidRPr="004A58C9">
              <w:rPr>
                <w:color w:val="000000"/>
              </w:rPr>
              <w:br/>
              <w:t xml:space="preserve">№ 335, </w:t>
            </w:r>
            <w:r w:rsidRPr="004A58C9">
              <w:rPr>
                <w:rFonts w:ascii="TimesNewRomanPSMT" w:hAnsi="TimesNewRomanPSMT" w:cs="TimesNewRomanPSMT"/>
                <w:color w:val="000000"/>
                <w:lang w:eastAsia="en-US"/>
              </w:rPr>
              <w:t>з</w:t>
            </w:r>
            <w:r w:rsidRPr="004A58C9">
              <w:rPr>
                <w:color w:val="000000"/>
              </w:rPr>
              <w:t>ареєстрованим у Міністерстві юстиції України 24 січня 2023 року № 155/39211.</w:t>
            </w:r>
          </w:p>
          <w:p w:rsidR="000156BA" w:rsidRPr="00704833" w:rsidRDefault="0083689C" w:rsidP="0083689C">
            <w:pPr>
              <w:ind w:firstLine="458"/>
              <w:jc w:val="both"/>
            </w:pPr>
            <w:r w:rsidRPr="004A58C9">
              <w:rPr>
                <w:color w:val="000000"/>
              </w:rPr>
              <w:t xml:space="preserve">Статистична інформація, розміщена на офіційному </w:t>
            </w:r>
            <w:proofErr w:type="spellStart"/>
            <w:r w:rsidRPr="004A58C9">
              <w:rPr>
                <w:color w:val="000000"/>
              </w:rPr>
              <w:t>вебсайті</w:t>
            </w:r>
            <w:proofErr w:type="spellEnd"/>
            <w:r w:rsidR="00185532">
              <w:rPr>
                <w:color w:val="000000"/>
                <w:lang w:val="en-US"/>
              </w:rPr>
              <w:t xml:space="preserve"> </w:t>
            </w:r>
            <w:proofErr w:type="spellStart"/>
            <w:r w:rsidRPr="004A58C9">
              <w:rPr>
                <w:color w:val="000000"/>
              </w:rPr>
              <w:t>Держстату</w:t>
            </w:r>
            <w:proofErr w:type="spellEnd"/>
            <w:r w:rsidRPr="004A58C9">
              <w:rPr>
                <w:color w:val="000000"/>
              </w:rPr>
              <w:t xml:space="preserve"> (www.ukrstat.gov.ua</w:t>
            </w:r>
            <w:r w:rsidRPr="004A58C9">
              <w:rPr>
                <w:color w:val="000000"/>
                <w:u w:val="single"/>
              </w:rPr>
              <w:t>)</w:t>
            </w:r>
            <w:r w:rsidRPr="004A58C9">
              <w:rPr>
                <w:color w:val="000000"/>
              </w:rPr>
              <w:t>, є доступною та відкритою для всіх користувачів без будь-яких обмежень.</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S.9. Періодичність оприлюднення інформації</w:t>
            </w:r>
          </w:p>
        </w:tc>
        <w:tc>
          <w:tcPr>
            <w:tcW w:w="8647" w:type="dxa"/>
            <w:shd w:val="clear" w:color="auto" w:fill="auto"/>
          </w:tcPr>
          <w:p w:rsidR="00486066" w:rsidRPr="00704833" w:rsidRDefault="00486066" w:rsidP="00486066">
            <w:pPr>
              <w:pStyle w:val="Default"/>
              <w:ind w:firstLine="454"/>
              <w:jc w:val="both"/>
              <w:rPr>
                <w:color w:val="7030A0"/>
                <w:sz w:val="28"/>
                <w:szCs w:val="28"/>
              </w:rPr>
            </w:pPr>
            <w:r w:rsidRPr="00704833">
              <w:rPr>
                <w:color w:val="auto"/>
                <w:sz w:val="28"/>
                <w:szCs w:val="28"/>
              </w:rPr>
              <w:t>Статистична інформація за результатами цього ДСС оприлюднюється щоквартально (</w:t>
            </w:r>
            <w:r w:rsidR="008C7A71">
              <w:rPr>
                <w:color w:val="auto"/>
                <w:sz w:val="28"/>
                <w:szCs w:val="28"/>
              </w:rPr>
              <w:t>попередні</w:t>
            </w:r>
            <w:r w:rsidRPr="00704833">
              <w:rPr>
                <w:color w:val="auto"/>
                <w:sz w:val="28"/>
                <w:szCs w:val="28"/>
              </w:rPr>
              <w:t xml:space="preserve"> дані) та щорічно (</w:t>
            </w:r>
            <w:r w:rsidR="00EB6AF6" w:rsidRPr="00704833">
              <w:rPr>
                <w:color w:val="auto"/>
                <w:sz w:val="28"/>
                <w:szCs w:val="28"/>
              </w:rPr>
              <w:t>остаточ</w:t>
            </w:r>
            <w:r w:rsidRPr="00704833">
              <w:rPr>
                <w:color w:val="auto"/>
                <w:sz w:val="28"/>
                <w:szCs w:val="28"/>
              </w:rPr>
              <w:t>ні дані)</w:t>
            </w:r>
            <w:r w:rsidRPr="00704833">
              <w:rPr>
                <w:color w:val="0000FF"/>
                <w:sz w:val="28"/>
                <w:szCs w:val="28"/>
              </w:rPr>
              <w:t>.</w:t>
            </w:r>
          </w:p>
          <w:p w:rsidR="00486066" w:rsidRPr="00704833" w:rsidRDefault="00486066" w:rsidP="00486066">
            <w:pPr>
              <w:ind w:firstLine="567"/>
              <w:jc w:val="both"/>
              <w:rPr>
                <w:spacing w:val="-2"/>
                <w:lang w:eastAsia="en-US"/>
              </w:rPr>
            </w:pPr>
            <w:r w:rsidRPr="00704833">
              <w:t xml:space="preserve">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704833">
              <w:t>вебсайті</w:t>
            </w:r>
            <w:proofErr w:type="spellEnd"/>
            <w:r w:rsidR="00185532">
              <w:rPr>
                <w:lang w:val="en-US"/>
              </w:rPr>
              <w:t xml:space="preserve"> </w:t>
            </w:r>
            <w:proofErr w:type="spellStart"/>
            <w:r w:rsidRPr="00704833">
              <w:t>Держстату</w:t>
            </w:r>
            <w:proofErr w:type="spellEnd"/>
            <w:r w:rsidR="00185532">
              <w:rPr>
                <w:lang w:val="en-US"/>
              </w:rPr>
              <w:t xml:space="preserve"> </w:t>
            </w:r>
            <w:r w:rsidRPr="00704833">
              <w:t>(</w:t>
            </w:r>
            <w:r w:rsidRPr="00704833">
              <w:rPr>
                <w:color w:val="000000" w:themeColor="text1"/>
              </w:rPr>
              <w:t>http://www.ukrstat.gov.ua) у розділі "Діяльність</w:t>
            </w:r>
            <w:r w:rsidRPr="00704833">
              <w:t>"/"Плани та графіки роботи".</w:t>
            </w:r>
          </w:p>
        </w:tc>
      </w:tr>
      <w:tr w:rsidR="00486066" w:rsidRPr="00704833" w:rsidTr="006023BA">
        <w:tc>
          <w:tcPr>
            <w:tcW w:w="14459" w:type="dxa"/>
            <w:gridSpan w:val="2"/>
            <w:shd w:val="clear" w:color="auto" w:fill="auto"/>
          </w:tcPr>
          <w:p w:rsidR="00486066" w:rsidRPr="00704833" w:rsidRDefault="00486066" w:rsidP="00486066">
            <w:pPr>
              <w:widowControl w:val="0"/>
              <w:autoSpaceDE w:val="0"/>
              <w:autoSpaceDN w:val="0"/>
              <w:adjustRightInd w:val="0"/>
            </w:pPr>
            <w:r w:rsidRPr="00704833">
              <w:t>S.10.  Доступність і ясність</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lastRenderedPageBreak/>
              <w:t>S.10.1.  Повідомлення для ЗМІ</w:t>
            </w:r>
          </w:p>
        </w:tc>
        <w:tc>
          <w:tcPr>
            <w:tcW w:w="8647" w:type="dxa"/>
            <w:shd w:val="clear" w:color="auto" w:fill="auto"/>
          </w:tcPr>
          <w:p w:rsidR="00486066" w:rsidRPr="00704833" w:rsidRDefault="00486066" w:rsidP="00486066">
            <w:pPr>
              <w:spacing w:line="228" w:lineRule="auto"/>
              <w:ind w:firstLine="454"/>
              <w:jc w:val="both"/>
            </w:pPr>
            <w:r w:rsidRPr="0083689C">
              <w:t xml:space="preserve">За результатами цього ДСС передбачено </w:t>
            </w:r>
            <w:r w:rsidR="00BD6EAD" w:rsidRPr="0083689C">
              <w:t xml:space="preserve">підготовку </w:t>
            </w:r>
            <w:r w:rsidRPr="0083689C">
              <w:t>експрес-випуск</w:t>
            </w:r>
            <w:r w:rsidR="00BD6EAD" w:rsidRPr="0083689C">
              <w:t>ів</w:t>
            </w:r>
            <w:r w:rsidRPr="0083689C">
              <w:t>.</w:t>
            </w:r>
          </w:p>
          <w:p w:rsidR="00486066" w:rsidRPr="00704833" w:rsidRDefault="00486066" w:rsidP="00486066">
            <w:pPr>
              <w:ind w:firstLine="454"/>
              <w:jc w:val="both"/>
            </w:pPr>
            <w:r w:rsidRPr="00704833">
              <w:t>Ураховуючи неможливість формування в повному обсязі об’єктивної статистичної інформації в умовах дії воєнного стану, починаючи зі звіту за І квартал 2022 року, експрес-випуски не поширюються.</w:t>
            </w:r>
          </w:p>
          <w:p w:rsidR="00486066" w:rsidRPr="00704833" w:rsidRDefault="00486066" w:rsidP="00486066">
            <w:pPr>
              <w:widowControl w:val="0"/>
              <w:autoSpaceDE w:val="0"/>
              <w:autoSpaceDN w:val="0"/>
              <w:adjustRightInd w:val="0"/>
              <w:ind w:firstLine="430"/>
              <w:jc w:val="both"/>
            </w:pPr>
            <w:r w:rsidRPr="00704833">
              <w:t xml:space="preserve">Також публікацією попередніх даних є статистична інформація за результатами спостереження. Зазначені статистичні продукти поширюються згідно з планом державних статистичних спостережень на відповідний рік на офіційному сайті Держстату в розділах </w:t>
            </w:r>
            <w:hyperlink r:id="rId17">
              <w:r w:rsidRPr="00704833">
                <w:t>"Статистична</w:t>
              </w:r>
            </w:hyperlink>
            <w:r w:rsidRPr="00704833">
              <w:t xml:space="preserve"> інформація"/"Економічна статистика"/ "Зовнішньоекономічна діяльність" </w:t>
            </w:r>
            <w:r w:rsidRPr="00704833">
              <w:rPr>
                <w:color w:val="000000" w:themeColor="text1"/>
              </w:rPr>
              <w:t>та "Статистична інформація"/"Багатогалузева статистична інформація"/"Регіональна статистика"/"Економічна статистика"/"Економічна діяльність"/"Зовнішня торгівля товарами та послугами".</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S.10.2.  Публікації</w:t>
            </w:r>
          </w:p>
        </w:tc>
        <w:tc>
          <w:tcPr>
            <w:tcW w:w="8647" w:type="dxa"/>
            <w:shd w:val="clear" w:color="auto" w:fill="auto"/>
          </w:tcPr>
          <w:p w:rsidR="00486066" w:rsidRPr="00704833" w:rsidRDefault="00486066" w:rsidP="00486066">
            <w:pPr>
              <w:pStyle w:val="Default"/>
              <w:spacing w:line="218" w:lineRule="auto"/>
              <w:ind w:firstLine="454"/>
              <w:jc w:val="both"/>
              <w:rPr>
                <w:color w:val="auto"/>
                <w:sz w:val="28"/>
                <w:szCs w:val="28"/>
              </w:rPr>
            </w:pPr>
            <w:r w:rsidRPr="00704833">
              <w:rPr>
                <w:color w:val="auto"/>
                <w:sz w:val="28"/>
                <w:szCs w:val="28"/>
              </w:rPr>
              <w:t xml:space="preserve">Основним статистичним продуктом, в якому поширюються дані ДСС, є статистична інформація, що розміщується на офіційному </w:t>
            </w:r>
            <w:proofErr w:type="spellStart"/>
            <w:r w:rsidRPr="00704833">
              <w:rPr>
                <w:color w:val="auto"/>
                <w:sz w:val="28"/>
                <w:szCs w:val="28"/>
              </w:rPr>
              <w:t>вебсайті</w:t>
            </w:r>
            <w:proofErr w:type="spellEnd"/>
            <w:r w:rsidR="00185532">
              <w:rPr>
                <w:color w:val="auto"/>
                <w:sz w:val="28"/>
                <w:szCs w:val="28"/>
                <w:lang w:val="en-US"/>
              </w:rPr>
              <w:t xml:space="preserve"> </w:t>
            </w:r>
            <w:proofErr w:type="spellStart"/>
            <w:r w:rsidRPr="00704833">
              <w:rPr>
                <w:color w:val="auto"/>
                <w:sz w:val="28"/>
                <w:szCs w:val="28"/>
              </w:rPr>
              <w:t>Держстату</w:t>
            </w:r>
            <w:proofErr w:type="spellEnd"/>
            <w:r w:rsidRPr="00704833">
              <w:rPr>
                <w:color w:val="auto"/>
                <w:sz w:val="28"/>
                <w:szCs w:val="28"/>
              </w:rPr>
              <w:t xml:space="preserve">: </w:t>
            </w:r>
          </w:p>
          <w:p w:rsidR="00486066" w:rsidRPr="00704833" w:rsidRDefault="00486066" w:rsidP="00486066">
            <w:pPr>
              <w:pStyle w:val="Default"/>
              <w:spacing w:line="218" w:lineRule="auto"/>
              <w:ind w:firstLine="454"/>
              <w:jc w:val="both"/>
              <w:rPr>
                <w:color w:val="auto"/>
                <w:sz w:val="28"/>
                <w:szCs w:val="28"/>
              </w:rPr>
            </w:pPr>
            <w:r w:rsidRPr="00704833">
              <w:rPr>
                <w:color w:val="auto"/>
                <w:sz w:val="28"/>
                <w:szCs w:val="28"/>
              </w:rPr>
              <w:t>у розділі</w:t>
            </w:r>
            <w:hyperlink r:id="rId18">
              <w:r w:rsidRPr="00704833">
                <w:rPr>
                  <w:color w:val="auto"/>
                  <w:sz w:val="28"/>
                  <w:szCs w:val="28"/>
                </w:rPr>
                <w:t xml:space="preserve"> "Статистична</w:t>
              </w:r>
            </w:hyperlink>
            <w:r w:rsidRPr="00704833">
              <w:rPr>
                <w:color w:val="auto"/>
                <w:sz w:val="28"/>
                <w:szCs w:val="28"/>
              </w:rPr>
              <w:t xml:space="preserve"> інформація"/"Економічна статистика"/"Зовнішньоекономічна діяльність":</w:t>
            </w:r>
          </w:p>
          <w:p w:rsidR="00486066" w:rsidRPr="00704833" w:rsidRDefault="00486066" w:rsidP="00486066">
            <w:pPr>
              <w:ind w:firstLine="458"/>
              <w:jc w:val="both"/>
            </w:pPr>
            <w:r w:rsidRPr="00704833">
              <w:t>географічна структура зовнішньої торгівлі послугами (https://ukrstat.gov.ua/operativ/operativ2021/zd/gsztp/gsztp_u/arh_gsztp2021_u.html);</w:t>
            </w:r>
          </w:p>
          <w:p w:rsidR="00486066" w:rsidRPr="00704833" w:rsidRDefault="00486066" w:rsidP="00486066">
            <w:pPr>
              <w:ind w:firstLine="458"/>
              <w:jc w:val="both"/>
            </w:pPr>
            <w:r w:rsidRPr="00704833">
              <w:t>структура зовнішньої торгівлі послугами за видами (https://ukrstat.gov.ua/operativ/operativ2023/zd/ztp_kv/arh_ztp_kv2023_u.html);</w:t>
            </w:r>
          </w:p>
          <w:p w:rsidR="00486066" w:rsidRPr="00704833" w:rsidRDefault="00486066" w:rsidP="00486066">
            <w:pPr>
              <w:ind w:firstLine="458"/>
              <w:jc w:val="both"/>
            </w:pPr>
            <w:r w:rsidRPr="00704833">
              <w:t>регіональні обсяги зовнішньої торгівлі послугами (https://ukrstat.gov.ua/operativ/operativ2023/zd/oep/arh_oep2022.html);</w:t>
            </w:r>
          </w:p>
          <w:p w:rsidR="00486066" w:rsidRPr="00704833" w:rsidRDefault="00486066" w:rsidP="00486066">
            <w:pPr>
              <w:ind w:firstLine="458"/>
              <w:jc w:val="both"/>
            </w:pPr>
            <w:r w:rsidRPr="00704833">
              <w:lastRenderedPageBreak/>
              <w:t>зовнішня торгівля послугами України з країнами світу (за видами послуг) (https://ukrstat.gov.ua/operativ/operativ2021/zd/ztpu_ks/ztpu_ks_u/arh_ztpu_ks_2021.htm);</w:t>
            </w:r>
          </w:p>
          <w:p w:rsidR="00486066" w:rsidRPr="00704833" w:rsidRDefault="00486066" w:rsidP="00486066">
            <w:pPr>
              <w:ind w:firstLine="458"/>
              <w:jc w:val="both"/>
            </w:pPr>
            <w:r w:rsidRPr="00704833">
              <w:t>географічна структура зовнішньої торгівлі послугами з країнами ЄС (</w:t>
            </w:r>
            <w:hyperlink r:id="rId19" w:history="1">
              <w:r w:rsidRPr="00704833">
                <w:rPr>
                  <w:rStyle w:val="a3"/>
                  <w:color w:val="auto"/>
                  <w:u w:val="none"/>
                </w:rPr>
                <w:t>https://ukrstat.gov.ua/operativ/operativ2019/zd/gsztp_ES/gsztp_ES_u/arh_gsztp_ES_2019_u.html</w:t>
              </w:r>
            </w:hyperlink>
            <w:r w:rsidRPr="00704833">
              <w:t>);</w:t>
            </w:r>
          </w:p>
          <w:p w:rsidR="00486066" w:rsidRPr="00704833" w:rsidRDefault="00486066" w:rsidP="00486066">
            <w:pPr>
              <w:ind w:firstLine="458"/>
              <w:jc w:val="both"/>
            </w:pPr>
            <w:r w:rsidRPr="00704833">
              <w:t>структура зовнішньої торгівлі послугами (за видами) з країнами ЄС (https://ukrstat.gov.ua/operativ/operativ2023/zd/ztp_kv_ES/arh_ztp_kv_ES_2023_u.html);</w:t>
            </w:r>
          </w:p>
          <w:p w:rsidR="00486066" w:rsidRPr="00704833" w:rsidRDefault="00486066" w:rsidP="00486066">
            <w:pPr>
              <w:ind w:firstLine="458"/>
              <w:jc w:val="both"/>
            </w:pPr>
            <w:r w:rsidRPr="00704833">
              <w:t>щоквартальні обсяги зовнішньої торгівлі послугами за країнами світу (https://ukrstat.gov.ua/operativ/operativ2008/zd/eip_kv/eip_kv_u/arh_eip2007_u.html);</w:t>
            </w:r>
          </w:p>
          <w:p w:rsidR="00486066" w:rsidRPr="00704833" w:rsidRDefault="00486066" w:rsidP="00486066">
            <w:pPr>
              <w:ind w:firstLine="458"/>
              <w:jc w:val="both"/>
            </w:pPr>
            <w:r w:rsidRPr="00704833">
              <w:t>щоквартальні обсяги зовнішньої торгівлі послугами за видами (https://ukrstat.gov.ua/operativ/operativ2013/zd/str_eip_kv/str_eip_kv_u/arch_str_eip_u.htm);</w:t>
            </w:r>
          </w:p>
          <w:p w:rsidR="00486066" w:rsidRPr="00704833" w:rsidRDefault="00486066" w:rsidP="00486066">
            <w:pPr>
              <w:ind w:firstLine="458"/>
              <w:jc w:val="both"/>
            </w:pPr>
            <w:r w:rsidRPr="00704833">
              <w:t>щоквартальні обсяги зовнішньої торгівлі послугами за країнами ЄС (https://ukrstat.gov.ua/operativ/operativ2018/zd/eip_kv_ES/arch_eip_ES_u.htm);</w:t>
            </w:r>
          </w:p>
          <w:p w:rsidR="00486066" w:rsidRPr="00704833" w:rsidRDefault="00486066" w:rsidP="00486066">
            <w:pPr>
              <w:ind w:firstLine="458"/>
              <w:jc w:val="both"/>
            </w:pPr>
            <w:r w:rsidRPr="00704833">
              <w:t>щоквартальні обсяги зовнішньої торгівлі послугами (за видами) з країнами</w:t>
            </w:r>
            <w:r w:rsidR="00CD2A18" w:rsidRPr="00704833">
              <w:t> </w:t>
            </w:r>
            <w:r w:rsidRPr="00704833">
              <w:t>ЄС (https://ukrstat.gov.ua/operativ/operativ2018/zd/str_eip_kv_ES/Arch_str_eip_es_u.htm);</w:t>
            </w:r>
          </w:p>
          <w:p w:rsidR="00486066" w:rsidRPr="00704833" w:rsidRDefault="00486066" w:rsidP="00486066">
            <w:pPr>
              <w:ind w:firstLine="458"/>
              <w:jc w:val="both"/>
            </w:pPr>
            <w:r w:rsidRPr="00704833">
              <w:t xml:space="preserve">динаміка зовнішньої торгівлі послугами за країнами світу </w:t>
            </w:r>
            <w:r w:rsidRPr="00704833">
              <w:lastRenderedPageBreak/>
              <w:t>(https://ukrstat.gov.ua/operativ/operativ2007/zd/din_rik/din_u/dei_posl21ue.xls);</w:t>
            </w:r>
          </w:p>
          <w:p w:rsidR="00486066" w:rsidRPr="00704833" w:rsidRDefault="00486066" w:rsidP="00486066">
            <w:pPr>
              <w:ind w:firstLine="458"/>
              <w:jc w:val="both"/>
            </w:pPr>
            <w:r w:rsidRPr="00704833">
              <w:t>динаміка зовнішньої торгівлі послугами за видами (https://ukrstat.gov.ua/operativ/operativ2008/zd/dseip/dseip2021_ue.xls);</w:t>
            </w:r>
          </w:p>
          <w:p w:rsidR="00486066" w:rsidRPr="00704833" w:rsidRDefault="00486066" w:rsidP="00486066">
            <w:pPr>
              <w:ind w:firstLine="458"/>
              <w:jc w:val="both"/>
            </w:pPr>
            <w:r w:rsidRPr="00704833">
              <w:t>динаміка географічної структури зовнішньої торгівлі послугами (https://ukrstat.gov.ua/operativ/operativ2005/zd/zd_rik/zd_u/gsp_rik_96-21ue.xls);</w:t>
            </w:r>
          </w:p>
          <w:p w:rsidR="00486066" w:rsidRPr="00704833" w:rsidRDefault="00486066" w:rsidP="00486066">
            <w:pPr>
              <w:ind w:firstLine="458"/>
              <w:jc w:val="both"/>
            </w:pPr>
            <w:r w:rsidRPr="00704833">
              <w:t>річні обсяги зовнішньої торгівлі послугами України з країнами світу</w:t>
            </w:r>
            <w:r w:rsidR="00CD2A18" w:rsidRPr="00704833">
              <w:t> </w:t>
            </w:r>
            <w:r w:rsidRPr="00704833">
              <w:t>(за</w:t>
            </w:r>
            <w:r w:rsidR="00CD2A18" w:rsidRPr="00704833">
              <w:t> </w:t>
            </w:r>
            <w:r w:rsidRPr="00704833">
              <w:t>видами</w:t>
            </w:r>
            <w:r w:rsidR="00CD2A18" w:rsidRPr="00704833">
              <w:t> </w:t>
            </w:r>
            <w:r w:rsidRPr="00704833">
              <w:t>послуг) (</w:t>
            </w:r>
            <w:hyperlink r:id="rId20" w:history="1">
              <w:r w:rsidRPr="00704833">
                <w:rPr>
                  <w:rStyle w:val="a3"/>
                  <w:color w:val="auto"/>
                  <w:u w:val="none"/>
                </w:rPr>
                <w:t>https://ukrstat.gov.ua/operativ/operativ2018/zd/roztp_ks_vp/arh_roztp_ks_vd_u.htm</w:t>
              </w:r>
            </w:hyperlink>
            <w:r w:rsidRPr="00704833">
              <w:t>);</w:t>
            </w:r>
          </w:p>
          <w:p w:rsidR="00486066" w:rsidRPr="00704833" w:rsidRDefault="00486066" w:rsidP="00486066">
            <w:pPr>
              <w:ind w:firstLine="458"/>
              <w:jc w:val="both"/>
            </w:pPr>
            <w:r w:rsidRPr="00704833">
              <w:t>у розділі "Статистична інформація"/"Багатогалузева статистична інформація"/"Регіональна статистика"/"Економічна статистика"/ "Економічна діяльність"/"</w:t>
            </w:r>
            <w:r w:rsidRPr="00704833">
              <w:rPr>
                <w:color w:val="000000" w:themeColor="text1"/>
              </w:rPr>
              <w:t>Зовнішня торгівля товарами та послугами</w:t>
            </w:r>
            <w:r w:rsidRPr="00704833">
              <w:t>":</w:t>
            </w:r>
          </w:p>
          <w:p w:rsidR="00486066" w:rsidRPr="00704833" w:rsidRDefault="00486066" w:rsidP="00486066">
            <w:pPr>
              <w:ind w:firstLine="458"/>
              <w:jc w:val="both"/>
            </w:pPr>
            <w:r w:rsidRPr="00704833">
              <w:t xml:space="preserve">регіональні обсяги зовнішньої торгівлі послугами </w:t>
            </w:r>
          </w:p>
          <w:p w:rsidR="00486066" w:rsidRPr="00704833" w:rsidRDefault="00486066" w:rsidP="00486066">
            <w:pPr>
              <w:ind w:firstLine="34"/>
              <w:jc w:val="both"/>
            </w:pPr>
            <w:r w:rsidRPr="00704833">
              <w:t>(</w:t>
            </w:r>
            <w:hyperlink r:id="rId21" w:history="1">
              <w:r w:rsidRPr="00704833">
                <w:rPr>
                  <w:rStyle w:val="a3"/>
                  <w:color w:val="auto"/>
                  <w:u w:val="none"/>
                </w:rPr>
                <w:t>https://ukrstat.gov.ua/operativ/operativ2021/zd/oep/oep_u/arh_oep2021.html</w:t>
              </w:r>
            </w:hyperlink>
            <w:r w:rsidRPr="00704833">
              <w:t>).</w:t>
            </w:r>
          </w:p>
          <w:p w:rsidR="00486066" w:rsidRPr="00704833" w:rsidRDefault="00486066" w:rsidP="00486066">
            <w:pPr>
              <w:ind w:firstLine="459"/>
              <w:jc w:val="both"/>
            </w:pPr>
            <w:r w:rsidRPr="00704833">
              <w:t>Також у розділі "Публікації"/"Економічна статистика"/ "Економічна діяльність"/"Зовнішньоекономічна діяльність": статистичні збірники</w:t>
            </w:r>
            <w:r w:rsidR="00CD2A18" w:rsidRPr="00704833">
              <w:t>:</w:t>
            </w:r>
          </w:p>
          <w:p w:rsidR="00486066" w:rsidRPr="00704833" w:rsidRDefault="00486066" w:rsidP="00486066">
            <w:pPr>
              <w:ind w:firstLine="459"/>
              <w:jc w:val="both"/>
            </w:pPr>
            <w:r w:rsidRPr="00704833">
              <w:t>"Зовнішня</w:t>
            </w:r>
            <w:r w:rsidR="00CD2A18" w:rsidRPr="00704833">
              <w:t> </w:t>
            </w:r>
            <w:r w:rsidRPr="00704833">
              <w:t>торгівля</w:t>
            </w:r>
            <w:r w:rsidR="00CD2A18" w:rsidRPr="00704833">
              <w:t> </w:t>
            </w:r>
            <w:r w:rsidRPr="00704833">
              <w:t>України" (</w:t>
            </w:r>
            <w:hyperlink r:id="rId22" w:history="1">
              <w:r w:rsidRPr="00704833">
                <w:rPr>
                  <w:rStyle w:val="a3"/>
                  <w:color w:val="auto"/>
                  <w:u w:val="none"/>
                </w:rPr>
                <w:t>https://ukrstat.gov.ua/druk/publicat/kat_u/2022/zb/08/zb_zt_ukr_2021.xlsx</w:t>
              </w:r>
            </w:hyperlink>
            <w:r w:rsidRPr="00704833">
              <w:t>);</w:t>
            </w:r>
          </w:p>
          <w:p w:rsidR="00486066" w:rsidRPr="00704833" w:rsidRDefault="00486066" w:rsidP="00185532">
            <w:pPr>
              <w:ind w:firstLine="458"/>
              <w:jc w:val="both"/>
            </w:pPr>
            <w:r w:rsidRPr="00704833">
              <w:t>"Співробітництво між Україною та країнами ЄС"</w:t>
            </w:r>
            <w:r w:rsidR="00185532">
              <w:rPr>
                <w:lang w:val="en-US"/>
              </w:rPr>
              <w:t> </w:t>
            </w:r>
            <w:r w:rsidRPr="00704833">
              <w:t>(https://ukrstat.gov.ua/druk/publicat/kat_u/2022/zb/07/zb_ES_%202021.xlsx).</w:t>
            </w:r>
          </w:p>
        </w:tc>
      </w:tr>
      <w:tr w:rsidR="00486066" w:rsidRPr="00704833" w:rsidTr="006023BA">
        <w:tc>
          <w:tcPr>
            <w:tcW w:w="5812" w:type="dxa"/>
            <w:shd w:val="clear" w:color="auto" w:fill="auto"/>
          </w:tcPr>
          <w:p w:rsidR="00486066" w:rsidRPr="00704833" w:rsidRDefault="008C7A71" w:rsidP="00486066">
            <w:pPr>
              <w:widowControl w:val="0"/>
              <w:autoSpaceDE w:val="0"/>
              <w:autoSpaceDN w:val="0"/>
              <w:adjustRightInd w:val="0"/>
            </w:pPr>
            <w:r>
              <w:lastRenderedPageBreak/>
              <w:t xml:space="preserve">S.10.3. </w:t>
            </w:r>
            <w:r w:rsidR="00486066" w:rsidRPr="00704833">
              <w:t>База даних онлайн</w:t>
            </w:r>
          </w:p>
        </w:tc>
        <w:tc>
          <w:tcPr>
            <w:tcW w:w="8647" w:type="dxa"/>
            <w:shd w:val="clear" w:color="auto" w:fill="auto"/>
          </w:tcPr>
          <w:p w:rsidR="00486066" w:rsidRPr="00704833" w:rsidRDefault="00CD2A18" w:rsidP="00486066">
            <w:pPr>
              <w:pStyle w:val="a4"/>
              <w:widowControl w:val="0"/>
              <w:autoSpaceDE w:val="0"/>
              <w:autoSpaceDN w:val="0"/>
              <w:adjustRightInd w:val="0"/>
              <w:ind w:left="28" w:firstLine="430"/>
              <w:jc w:val="both"/>
            </w:pPr>
            <w:r w:rsidRPr="00704833">
              <w:t>Результати цього ДСС не формуються в онлайн-базі статистичних даних через її відсутність.</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lastRenderedPageBreak/>
              <w:t>S.10.3.1. Таблиці даних ‒ консультації (AC1)</w:t>
            </w:r>
          </w:p>
        </w:tc>
        <w:tc>
          <w:tcPr>
            <w:tcW w:w="8647" w:type="dxa"/>
            <w:shd w:val="clear" w:color="auto" w:fill="auto"/>
          </w:tcPr>
          <w:p w:rsidR="00486066" w:rsidRPr="00704833" w:rsidRDefault="00CD2A18" w:rsidP="00486066">
            <w:pPr>
              <w:ind w:firstLine="430"/>
              <w:jc w:val="both"/>
            </w:pPr>
            <w:r w:rsidRPr="00704833">
              <w:t>Не розраховується через відсутність онлайн-бази статистичних даних.</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 xml:space="preserve">S.10.4.  Доступ до </w:t>
            </w:r>
            <w:proofErr w:type="spellStart"/>
            <w:r w:rsidRPr="00704833">
              <w:t>мікроданих</w:t>
            </w:r>
            <w:proofErr w:type="spellEnd"/>
          </w:p>
        </w:tc>
        <w:tc>
          <w:tcPr>
            <w:tcW w:w="8647" w:type="dxa"/>
            <w:shd w:val="clear" w:color="auto" w:fill="auto"/>
          </w:tcPr>
          <w:p w:rsidR="00D91622" w:rsidRPr="00BD6EAD" w:rsidRDefault="00486066" w:rsidP="0083689C">
            <w:pPr>
              <w:widowControl w:val="0"/>
              <w:autoSpaceDE w:val="0"/>
              <w:autoSpaceDN w:val="0"/>
              <w:adjustRightInd w:val="0"/>
              <w:ind w:firstLine="458"/>
              <w:jc w:val="both"/>
            </w:pPr>
            <w:proofErr w:type="spellStart"/>
            <w:r w:rsidRPr="00704833">
              <w:t>Мікродані</w:t>
            </w:r>
            <w:proofErr w:type="spellEnd"/>
            <w:r w:rsidRPr="00704833">
              <w:t xml:space="preserve"> за цим ДСС</w:t>
            </w:r>
            <w:r w:rsidR="0083689C">
              <w:t xml:space="preserve"> не </w:t>
            </w:r>
            <w:r w:rsidRPr="00704833">
              <w:t>формуються</w:t>
            </w:r>
            <w:r w:rsidR="0083689C">
              <w:t>.</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S.10.5.  Інше</w:t>
            </w:r>
          </w:p>
        </w:tc>
        <w:tc>
          <w:tcPr>
            <w:tcW w:w="8647" w:type="dxa"/>
            <w:shd w:val="clear" w:color="auto" w:fill="auto"/>
          </w:tcPr>
          <w:p w:rsidR="00CD2A18" w:rsidRPr="00704833" w:rsidRDefault="00CD2A18" w:rsidP="00CD2A18">
            <w:pPr>
              <w:widowControl w:val="0"/>
              <w:autoSpaceDE w:val="0"/>
              <w:autoSpaceDN w:val="0"/>
              <w:adjustRightInd w:val="0"/>
              <w:ind w:firstLine="458"/>
              <w:jc w:val="both"/>
            </w:pPr>
            <w:r w:rsidRPr="00704833">
              <w:t xml:space="preserve">Результати ДСС також розміщуються на сайтах територіальних органів </w:t>
            </w:r>
            <w:proofErr w:type="spellStart"/>
            <w:r w:rsidRPr="00704833">
              <w:t>Держстату</w:t>
            </w:r>
            <w:proofErr w:type="spellEnd"/>
            <w:r w:rsidRPr="00704833">
              <w:t xml:space="preserve"> </w:t>
            </w:r>
            <w:r w:rsidR="00441DF0" w:rsidRPr="0083689C">
              <w:t>(ТОД)</w:t>
            </w:r>
            <w:r w:rsidR="00185532">
              <w:rPr>
                <w:lang w:val="en-US"/>
              </w:rPr>
              <w:t xml:space="preserve"> </w:t>
            </w:r>
            <w:r w:rsidRPr="00704833">
              <w:t xml:space="preserve">у відповідних статистичних продуктах (статистична інформація тощо). Дані, що оприлюднюються на </w:t>
            </w:r>
            <w:proofErr w:type="spellStart"/>
            <w:r w:rsidRPr="00704833">
              <w:t>вебсайтах</w:t>
            </w:r>
            <w:proofErr w:type="spellEnd"/>
            <w:r w:rsidRPr="00704833">
              <w:t xml:space="preserve"> ТОД, узгоджені з даними, які публікує Держстат.</w:t>
            </w:r>
          </w:p>
          <w:p w:rsidR="00CD2A18" w:rsidRPr="00704833" w:rsidRDefault="00CD2A18" w:rsidP="00CD2A18">
            <w:pPr>
              <w:widowControl w:val="0"/>
              <w:autoSpaceDE w:val="0"/>
              <w:autoSpaceDN w:val="0"/>
              <w:adjustRightInd w:val="0"/>
              <w:ind w:firstLine="458"/>
              <w:jc w:val="both"/>
            </w:pPr>
            <w:r w:rsidRPr="00704833">
              <w:t>Ураховуючи неможливість формування в повному обсязі об’єктивної статистичної інформації в умовах дії воєнного стану, починаючи зі звіту за І квартал 2022 року, інформація щодо географічної структури зовнішньої торгівлі послугами, структури зовнішньої торгівлі послугами за видами, динаміки географічної структури зовнішньої торгівлі послугами, щоквартальних обсягів зовнішньої торгівлі послугами за країнами світу та щоквартальних обсягів зовнішньої торгівлі послугами за видами, не поширюється.</w:t>
            </w:r>
          </w:p>
          <w:p w:rsidR="00D068C0" w:rsidRPr="006B1032" w:rsidRDefault="00683DD1" w:rsidP="00CD2A18">
            <w:pPr>
              <w:widowControl w:val="0"/>
              <w:autoSpaceDE w:val="0"/>
              <w:autoSpaceDN w:val="0"/>
              <w:adjustRightInd w:val="0"/>
              <w:ind w:firstLine="458"/>
              <w:jc w:val="both"/>
            </w:pPr>
            <w:r w:rsidRPr="006B1032">
              <w:t>Попередня</w:t>
            </w:r>
            <w:r w:rsidR="00D068C0" w:rsidRPr="006B1032">
              <w:t xml:space="preserve"> інформація щодо зовнішньої торгівлі послугами за 2023 рік розміщена </w:t>
            </w:r>
            <w:r w:rsidR="00185532" w:rsidRPr="00704833">
              <w:t>офіційному</w:t>
            </w:r>
            <w:r w:rsidR="00185532" w:rsidRPr="006B1032">
              <w:t xml:space="preserve"> </w:t>
            </w:r>
            <w:r w:rsidR="00D068C0" w:rsidRPr="006B1032">
              <w:t xml:space="preserve">на </w:t>
            </w:r>
            <w:proofErr w:type="spellStart"/>
            <w:r w:rsidR="00D068C0" w:rsidRPr="006B1032">
              <w:t>вебсайті</w:t>
            </w:r>
            <w:proofErr w:type="spellEnd"/>
            <w:r w:rsidR="00185532">
              <w:rPr>
                <w:lang w:val="en-US"/>
              </w:rPr>
              <w:t xml:space="preserve"> </w:t>
            </w:r>
            <w:proofErr w:type="spellStart"/>
            <w:r w:rsidR="00D068C0" w:rsidRPr="006B1032">
              <w:t>Держстату</w:t>
            </w:r>
            <w:proofErr w:type="spellEnd"/>
            <w:r w:rsidR="00D068C0" w:rsidRPr="006B1032">
              <w:t xml:space="preserve"> за окремими розрізами (за видами послуг, за видами послуг по угрупованню </w:t>
            </w:r>
            <w:r w:rsidRPr="006B1032">
              <w:t>"</w:t>
            </w:r>
            <w:r w:rsidR="00D068C0" w:rsidRPr="006B1032">
              <w:t>країни ЄС</w:t>
            </w:r>
            <w:r w:rsidRPr="006B1032">
              <w:t>"</w:t>
            </w:r>
            <w:r w:rsidR="00D068C0" w:rsidRPr="006B1032">
              <w:t>)</w:t>
            </w:r>
            <w:r w:rsidR="000149A2" w:rsidRPr="006B1032">
              <w:t>.</w:t>
            </w:r>
            <w:r w:rsidR="00185532">
              <w:rPr>
                <w:lang w:val="en-US"/>
              </w:rPr>
              <w:t xml:space="preserve"> </w:t>
            </w:r>
            <w:r w:rsidR="000149A2" w:rsidRPr="006B1032">
              <w:t>Н</w:t>
            </w:r>
            <w:r w:rsidR="00D068C0" w:rsidRPr="006B1032">
              <w:t>а регіональному рівні</w:t>
            </w:r>
            <w:r w:rsidR="000149A2" w:rsidRPr="006B1032">
              <w:t xml:space="preserve"> оперативна інформація щодо зовнішньої торгівлі послугами за 2023 рік не поширювалась.</w:t>
            </w:r>
          </w:p>
          <w:p w:rsidR="00D91622" w:rsidRPr="00704833" w:rsidRDefault="00CD2A18" w:rsidP="00B211BE">
            <w:pPr>
              <w:widowControl w:val="0"/>
              <w:autoSpaceDE w:val="0"/>
              <w:autoSpaceDN w:val="0"/>
              <w:adjustRightInd w:val="0"/>
              <w:ind w:firstLine="458"/>
              <w:jc w:val="both"/>
            </w:pPr>
            <w:r w:rsidRPr="00704833">
              <w:t xml:space="preserve">Статистична інформація щодо зовнішньої торгівлі послугами оприлюднюється на Єдиному державному </w:t>
            </w:r>
            <w:proofErr w:type="spellStart"/>
            <w:r w:rsidRPr="00704833">
              <w:t>вебпорталі</w:t>
            </w:r>
            <w:proofErr w:type="spellEnd"/>
            <w:r w:rsidRPr="00704833">
              <w:t xml:space="preserve"> відкритих даних (</w:t>
            </w:r>
            <w:r w:rsidR="00B211BE" w:rsidRPr="00B211BE">
              <w:t>https://data.gov.ua/dataset/7495f8f5-e872-4e3b-a7e3-7b8ca55bad26</w:t>
            </w:r>
            <w:r w:rsidRPr="00704833">
              <w:t>)та в мобільному додатку "Статистика в смартфоні"</w:t>
            </w:r>
            <w:r w:rsidR="00441DF0">
              <w:t>.</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S.10.5.1.  Кількість консультацій щодо метаданих (AC2)</w:t>
            </w:r>
          </w:p>
        </w:tc>
        <w:tc>
          <w:tcPr>
            <w:tcW w:w="8647" w:type="dxa"/>
            <w:shd w:val="clear" w:color="auto" w:fill="auto"/>
          </w:tcPr>
          <w:p w:rsidR="00EB6AF6" w:rsidRPr="00704833" w:rsidRDefault="00486066" w:rsidP="00683DD1">
            <w:pPr>
              <w:ind w:firstLine="430"/>
              <w:jc w:val="both"/>
            </w:pPr>
            <w:r w:rsidRPr="00704833">
              <w:t>За період з 01 січня по 01 жовтня 202</w:t>
            </w:r>
            <w:r w:rsidR="00CD2A18" w:rsidRPr="00704833">
              <w:t>4</w:t>
            </w:r>
            <w:r w:rsidRPr="00704833">
              <w:t xml:space="preserve"> року було здійснено </w:t>
            </w:r>
            <w:r w:rsidR="00FC0AC7" w:rsidRPr="00704833">
              <w:t>8</w:t>
            </w:r>
            <w:r w:rsidRPr="00704833">
              <w:t xml:space="preserve"> консультацій щодо метаданих ДСС для фахівців НБУ</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S.10.6.  Документація з методології</w:t>
            </w:r>
          </w:p>
        </w:tc>
        <w:tc>
          <w:tcPr>
            <w:tcW w:w="8647" w:type="dxa"/>
            <w:shd w:val="clear" w:color="auto" w:fill="auto"/>
          </w:tcPr>
          <w:p w:rsidR="00486066" w:rsidRPr="00913E58" w:rsidRDefault="00486066" w:rsidP="00486066">
            <w:pPr>
              <w:widowControl w:val="0"/>
              <w:autoSpaceDE w:val="0"/>
              <w:autoSpaceDN w:val="0"/>
              <w:adjustRightInd w:val="0"/>
              <w:ind w:firstLine="430"/>
              <w:jc w:val="both"/>
              <w:rPr>
                <w:spacing w:val="-2"/>
              </w:rPr>
            </w:pPr>
            <w:r w:rsidRPr="00913E58">
              <w:rPr>
                <w:spacing w:val="-2"/>
              </w:rPr>
              <w:t>Методологічні положення державного статистичного спостереження "Зовнішня торгівля послугами"</w:t>
            </w:r>
            <w:r w:rsidR="00B24114" w:rsidRPr="00913E58">
              <w:rPr>
                <w:spacing w:val="-2"/>
              </w:rPr>
              <w:t xml:space="preserve"> (далі – Методологічні </w:t>
            </w:r>
            <w:r w:rsidR="00B24114" w:rsidRPr="00913E58">
              <w:rPr>
                <w:spacing w:val="-2"/>
              </w:rPr>
              <w:lastRenderedPageBreak/>
              <w:t>положення</w:t>
            </w:r>
            <w:r w:rsidR="00C933B6" w:rsidRPr="00913E58">
              <w:rPr>
                <w:spacing w:val="-2"/>
              </w:rPr>
              <w:t>, методологія ДСС</w:t>
            </w:r>
            <w:r w:rsidR="00B24114" w:rsidRPr="00913E58">
              <w:rPr>
                <w:spacing w:val="-2"/>
              </w:rPr>
              <w:t>)</w:t>
            </w:r>
            <w:r w:rsidRPr="00913E58">
              <w:rPr>
                <w:spacing w:val="-2"/>
              </w:rPr>
              <w:t xml:space="preserve">, затверджені наказом </w:t>
            </w:r>
            <w:proofErr w:type="spellStart"/>
            <w:r w:rsidRPr="00913E58">
              <w:rPr>
                <w:spacing w:val="-2"/>
              </w:rPr>
              <w:t>Держстату</w:t>
            </w:r>
            <w:proofErr w:type="spellEnd"/>
            <w:r w:rsidRPr="00913E58">
              <w:rPr>
                <w:spacing w:val="-2"/>
              </w:rPr>
              <w:t xml:space="preserve"> від </w:t>
            </w:r>
            <w:r w:rsidR="00185532">
              <w:rPr>
                <w:spacing w:val="-2"/>
                <w:lang w:val="en-US"/>
              </w:rPr>
              <w:t xml:space="preserve">    </w:t>
            </w:r>
            <w:r w:rsidRPr="00913E58">
              <w:rPr>
                <w:spacing w:val="-2"/>
              </w:rPr>
              <w:t>03</w:t>
            </w:r>
            <w:r w:rsidR="00185532">
              <w:rPr>
                <w:spacing w:val="-2"/>
                <w:lang w:val="en-US"/>
              </w:rPr>
              <w:t xml:space="preserve"> </w:t>
            </w:r>
            <w:r w:rsidRPr="00913E58">
              <w:rPr>
                <w:spacing w:val="-2"/>
              </w:rPr>
              <w:t>липня 2023 року № 231</w:t>
            </w:r>
            <w:r w:rsidR="00CD2A18" w:rsidRPr="00913E58">
              <w:rPr>
                <w:spacing w:val="-2"/>
              </w:rPr>
              <w:t>;</w:t>
            </w:r>
          </w:p>
          <w:p w:rsidR="00CD2A18" w:rsidRPr="00913E58" w:rsidRDefault="00CD2A18" w:rsidP="00CD2A18">
            <w:pPr>
              <w:tabs>
                <w:tab w:val="left" w:pos="180"/>
                <w:tab w:val="left" w:pos="567"/>
              </w:tabs>
              <w:spacing w:line="252" w:lineRule="auto"/>
              <w:ind w:firstLine="567"/>
              <w:jc w:val="both"/>
            </w:pPr>
            <w:r w:rsidRPr="00913E58">
              <w:t>Методика розрахунку показників послуг, пов’язаних з подорожами, у статистиці зовнішньої торгівлі послугами, затверджена наказом Держстату від 18 лютого 2022 року № 44;</w:t>
            </w:r>
          </w:p>
          <w:p w:rsidR="00CD2A18" w:rsidRPr="00913E58" w:rsidRDefault="00CD2A18" w:rsidP="00CD2A18">
            <w:pPr>
              <w:tabs>
                <w:tab w:val="left" w:pos="180"/>
                <w:tab w:val="left" w:pos="567"/>
              </w:tabs>
              <w:spacing w:line="252" w:lineRule="auto"/>
              <w:ind w:firstLine="567"/>
              <w:jc w:val="both"/>
              <w:rPr>
                <w:strike/>
                <w:color w:val="FF0000"/>
              </w:rPr>
            </w:pPr>
            <w:r w:rsidRPr="00913E58">
              <w:t xml:space="preserve">Методологічні положення зі статистики зовнішньої торгівлі послугами, затверджені наказом </w:t>
            </w:r>
            <w:proofErr w:type="spellStart"/>
            <w:r w:rsidRPr="00913E58">
              <w:t>Держстату</w:t>
            </w:r>
            <w:proofErr w:type="spellEnd"/>
            <w:r w:rsidRPr="00913E58">
              <w:t xml:space="preserve"> від 08.02.2013 №43</w:t>
            </w:r>
            <w:r w:rsidR="00913E58" w:rsidRPr="00913E58">
              <w:t>.</w:t>
            </w:r>
          </w:p>
          <w:p w:rsidR="00555EA2" w:rsidRPr="00913E58" w:rsidRDefault="00CB3CDD" w:rsidP="00555EA2">
            <w:pPr>
              <w:widowControl w:val="0"/>
              <w:autoSpaceDE w:val="0"/>
              <w:autoSpaceDN w:val="0"/>
              <w:adjustRightInd w:val="0"/>
              <w:ind w:firstLine="430"/>
              <w:jc w:val="both"/>
            </w:pPr>
            <w:r w:rsidRPr="00913E58">
              <w:t>Методика ретроспективного перерахунку вартості послуг з переробки у зовнішньоекономічній діяльності, затверджена наказом Держстату від 31.12.2014 № 419</w:t>
            </w:r>
            <w:r w:rsidR="00555EA2" w:rsidRPr="00913E58">
              <w:t>.</w:t>
            </w:r>
          </w:p>
          <w:p w:rsidR="00486066" w:rsidRPr="00704833" w:rsidRDefault="00486066" w:rsidP="00555EA2">
            <w:pPr>
              <w:widowControl w:val="0"/>
              <w:autoSpaceDE w:val="0"/>
              <w:autoSpaceDN w:val="0"/>
              <w:adjustRightInd w:val="0"/>
              <w:ind w:firstLine="430"/>
              <w:jc w:val="both"/>
              <w:rPr>
                <w:spacing w:val="-2"/>
                <w:highlight w:val="cyan"/>
              </w:rPr>
            </w:pPr>
            <w:r w:rsidRPr="00913E58">
              <w:rPr>
                <w:spacing w:val="-2"/>
              </w:rPr>
              <w:t>Зазначен</w:t>
            </w:r>
            <w:r w:rsidR="00CD2A18" w:rsidRPr="00913E58">
              <w:rPr>
                <w:spacing w:val="-2"/>
              </w:rPr>
              <w:t>і</w:t>
            </w:r>
            <w:r w:rsidRPr="00913E58">
              <w:rPr>
                <w:spacing w:val="-2"/>
              </w:rPr>
              <w:t xml:space="preserve"> документ</w:t>
            </w:r>
            <w:r w:rsidR="00CD2A18" w:rsidRPr="00913E58">
              <w:rPr>
                <w:spacing w:val="-2"/>
              </w:rPr>
              <w:t>и</w:t>
            </w:r>
            <w:r w:rsidRPr="00913E58">
              <w:rPr>
                <w:spacing w:val="-2"/>
              </w:rPr>
              <w:t xml:space="preserve"> розміщен</w:t>
            </w:r>
            <w:r w:rsidR="00CD2A18" w:rsidRPr="00913E58">
              <w:rPr>
                <w:spacing w:val="-2"/>
              </w:rPr>
              <w:t>і</w:t>
            </w:r>
            <w:r w:rsidRPr="00913E58">
              <w:rPr>
                <w:spacing w:val="-2"/>
              </w:rPr>
              <w:t xml:space="preserve"> на офіційному </w:t>
            </w:r>
            <w:proofErr w:type="spellStart"/>
            <w:r w:rsidRPr="00913E58">
              <w:rPr>
                <w:spacing w:val="-2"/>
              </w:rPr>
              <w:t>вебсайті</w:t>
            </w:r>
            <w:proofErr w:type="spellEnd"/>
            <w:r w:rsidR="00185532">
              <w:rPr>
                <w:spacing w:val="-2"/>
                <w:lang w:val="en-US"/>
              </w:rPr>
              <w:t xml:space="preserve"> </w:t>
            </w:r>
            <w:proofErr w:type="spellStart"/>
            <w:r w:rsidRPr="00913E58">
              <w:rPr>
                <w:spacing w:val="-2"/>
              </w:rPr>
              <w:t>Держстату</w:t>
            </w:r>
            <w:proofErr w:type="spellEnd"/>
            <w:r w:rsidR="00185532">
              <w:rPr>
                <w:spacing w:val="-2"/>
                <w:lang w:val="en-US"/>
              </w:rPr>
              <w:t xml:space="preserve"> </w:t>
            </w:r>
            <w:r w:rsidRPr="00913E58">
              <w:rPr>
                <w:spacing w:val="-2"/>
              </w:rPr>
              <w:t>www.ukrstat.gov.ua у розділі "Методологія та класифікатори"/"Статистична методологія"/"Економічна статистика"/"Зовнішньоекономічна діяльність".</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rPr>
                <w:color w:val="C00000"/>
              </w:rPr>
            </w:pPr>
            <w:r w:rsidRPr="00704833">
              <w:lastRenderedPageBreak/>
              <w:t xml:space="preserve">S.10.6.1.  Рівень повноти метаданих (AC3) </w:t>
            </w:r>
          </w:p>
        </w:tc>
        <w:tc>
          <w:tcPr>
            <w:tcW w:w="8647" w:type="dxa"/>
            <w:shd w:val="clear" w:color="auto" w:fill="auto"/>
          </w:tcPr>
          <w:p w:rsidR="00D91622" w:rsidRPr="00704833" w:rsidRDefault="00D91622" w:rsidP="00D91622">
            <w:pPr>
              <w:ind w:firstLine="430"/>
              <w:jc w:val="both"/>
            </w:pPr>
            <w:r w:rsidRPr="00704833">
              <w:t xml:space="preserve">1. Рівень повноти представлення метаданих щодо оприлюднення інформації становить </w:t>
            </w:r>
            <w:r w:rsidR="00872172" w:rsidRPr="00704833">
              <w:t>9</w:t>
            </w:r>
            <w:r w:rsidRPr="00704833">
              <w:t xml:space="preserve">4,4%: </w:t>
            </w:r>
          </w:p>
          <w:p w:rsidR="00D91622" w:rsidRPr="00704833" w:rsidRDefault="00D91622" w:rsidP="00D91622">
            <w:pPr>
              <w:pStyle w:val="a4"/>
              <w:ind w:left="-137" w:firstLine="567"/>
              <w:jc w:val="both"/>
            </w:pPr>
            <w:r w:rsidRPr="00704833">
              <w:t>AC3 = 17/18 = 0,944.</w:t>
            </w:r>
          </w:p>
          <w:p w:rsidR="00D91622" w:rsidRPr="00704833" w:rsidRDefault="00D91622" w:rsidP="00D91622">
            <w:pPr>
              <w:ind w:firstLine="430"/>
              <w:jc w:val="both"/>
            </w:pPr>
            <w:r w:rsidRPr="00704833">
              <w:t xml:space="preserve">2. Рівень повноти представлення метаданих щодо обробки становить 80%: </w:t>
            </w:r>
          </w:p>
          <w:p w:rsidR="00D91622" w:rsidRPr="00704833" w:rsidRDefault="00D91622" w:rsidP="00D91622">
            <w:pPr>
              <w:ind w:firstLine="430"/>
              <w:jc w:val="both"/>
            </w:pPr>
            <w:r w:rsidRPr="00704833">
              <w:t xml:space="preserve">AC3 = 12/15 = 0,80. </w:t>
            </w:r>
          </w:p>
          <w:p w:rsidR="00D91622" w:rsidRPr="00913E58" w:rsidRDefault="00D91622" w:rsidP="00D91622">
            <w:pPr>
              <w:ind w:firstLine="430"/>
              <w:jc w:val="both"/>
            </w:pPr>
            <w:r w:rsidRPr="00913E58">
              <w:t>3. Рівень повноти представлення метаданих щодо якості становить 84%:</w:t>
            </w:r>
          </w:p>
          <w:p w:rsidR="00486066" w:rsidRPr="00704833" w:rsidRDefault="00D91622" w:rsidP="00E855E0">
            <w:pPr>
              <w:ind w:firstLine="430"/>
              <w:jc w:val="both"/>
            </w:pPr>
            <w:r w:rsidRPr="00913E58">
              <w:t>AC3 = 3</w:t>
            </w:r>
            <w:r w:rsidR="00E855E0" w:rsidRPr="00913E58">
              <w:t>6</w:t>
            </w:r>
            <w:r w:rsidRPr="00913E58">
              <w:t>/43= 0,84.</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S.10.7.  Документація з якості</w:t>
            </w:r>
          </w:p>
        </w:tc>
        <w:tc>
          <w:tcPr>
            <w:tcW w:w="8647" w:type="dxa"/>
            <w:shd w:val="clear" w:color="auto" w:fill="auto"/>
          </w:tcPr>
          <w:p w:rsidR="00CB2552" w:rsidRPr="00704833" w:rsidRDefault="00486066" w:rsidP="00EB5796">
            <w:pPr>
              <w:ind w:firstLine="430"/>
              <w:jc w:val="both"/>
            </w:pPr>
            <w:r w:rsidRPr="00704833">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w:t>
            </w:r>
            <w:r w:rsidR="00913E58">
              <w:t>:</w:t>
            </w:r>
            <w:hyperlink r:id="rId23" w:history="1">
              <w:r w:rsidR="00CB2552" w:rsidRPr="00704833">
                <w:t>https://www.ukrstat.gov.ua/norm_doc/2022/309/polit_z_yakost_22.zip</w:t>
              </w:r>
            </w:hyperlink>
            <w:r w:rsidRPr="00704833">
              <w:t xml:space="preserve">, </w:t>
            </w:r>
          </w:p>
          <w:p w:rsidR="00EB5796" w:rsidRDefault="00486066" w:rsidP="00EB5796">
            <w:pPr>
              <w:ind w:firstLine="430"/>
              <w:jc w:val="both"/>
            </w:pPr>
            <w:r w:rsidRPr="00704833">
              <w:lastRenderedPageBreak/>
              <w:t>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 13 січня 2023 року № 74/39130</w:t>
            </w:r>
            <w:r w:rsidR="00CB2552" w:rsidRPr="00704833">
              <w:t>:</w:t>
            </w:r>
            <w:hyperlink r:id="rId24" w:history="1">
              <w:r w:rsidR="00CB2552" w:rsidRPr="00704833">
                <w:t>https://ukrstat.gov.ua/norm_doc/2022/414/414.pdf</w:t>
              </w:r>
            </w:hyperlink>
          </w:p>
          <w:p w:rsidR="00EB5796" w:rsidRPr="00704833" w:rsidRDefault="00486066" w:rsidP="00EB5796">
            <w:pPr>
              <w:ind w:firstLine="430"/>
              <w:jc w:val="both"/>
            </w:pPr>
            <w:r w:rsidRPr="00704833">
              <w:t xml:space="preserve">За цим спостереженням </w:t>
            </w:r>
            <w:r w:rsidRPr="00913E58">
              <w:t>складалися</w:t>
            </w:r>
            <w:r w:rsidR="00EB5796" w:rsidRPr="00913E58">
              <w:t xml:space="preserve">: базовий звіт з якості даних щодо зовнішньої торгівлі послугами у 2015 році та </w:t>
            </w:r>
            <w:r w:rsidRPr="00913E58">
              <w:t>стандартні звіти з якості у 20</w:t>
            </w:r>
            <w:r w:rsidR="00CB3CDD" w:rsidRPr="00913E58">
              <w:t>16</w:t>
            </w:r>
            <w:r w:rsidRPr="00913E58">
              <w:t xml:space="preserve"> та 20</w:t>
            </w:r>
            <w:r w:rsidR="00CB3CDD" w:rsidRPr="00913E58">
              <w:t>22</w:t>
            </w:r>
            <w:r w:rsidR="00EB5796" w:rsidRPr="00913E58">
              <w:t xml:space="preserve"> роках (</w:t>
            </w:r>
            <w:r w:rsidRPr="00913E58">
              <w:t xml:space="preserve">розміщені на офіційному </w:t>
            </w:r>
            <w:proofErr w:type="spellStart"/>
            <w:r w:rsidR="00EB5796" w:rsidRPr="00913E58">
              <w:t>веб</w:t>
            </w:r>
            <w:r w:rsidRPr="00913E58">
              <w:t>сайті</w:t>
            </w:r>
            <w:proofErr w:type="spellEnd"/>
            <w:r w:rsidR="00185532">
              <w:rPr>
                <w:lang w:val="en-US"/>
              </w:rPr>
              <w:t xml:space="preserve"> </w:t>
            </w:r>
            <w:proofErr w:type="spellStart"/>
            <w:r w:rsidRPr="00704833">
              <w:t>Держстату</w:t>
            </w:r>
            <w:proofErr w:type="spellEnd"/>
            <w:r w:rsidRPr="00704833">
              <w:t xml:space="preserve"> у розділі "Діяльність"/"Статистичні спостереження"/"Звіти з якості"/"Зовнішньоекономічна діяльність".</w:t>
            </w:r>
          </w:p>
        </w:tc>
      </w:tr>
      <w:tr w:rsidR="00486066" w:rsidRPr="00704833" w:rsidTr="006023BA">
        <w:tc>
          <w:tcPr>
            <w:tcW w:w="14459" w:type="dxa"/>
            <w:gridSpan w:val="2"/>
            <w:shd w:val="clear" w:color="auto" w:fill="auto"/>
          </w:tcPr>
          <w:p w:rsidR="00486066" w:rsidRPr="00704833" w:rsidRDefault="00486066" w:rsidP="00486066">
            <w:pPr>
              <w:widowControl w:val="0"/>
              <w:autoSpaceDE w:val="0"/>
              <w:autoSpaceDN w:val="0"/>
              <w:adjustRightInd w:val="0"/>
            </w:pPr>
            <w:r w:rsidRPr="00704833">
              <w:lastRenderedPageBreak/>
              <w:t>S.11.  Управління якістю</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S.11.1.  Забезпечення якості</w:t>
            </w:r>
          </w:p>
        </w:tc>
        <w:tc>
          <w:tcPr>
            <w:tcW w:w="8647" w:type="dxa"/>
            <w:shd w:val="clear" w:color="auto" w:fill="auto"/>
          </w:tcPr>
          <w:p w:rsidR="00486066" w:rsidRPr="00704833" w:rsidRDefault="00486066" w:rsidP="00486066">
            <w:pPr>
              <w:ind w:firstLine="430"/>
              <w:jc w:val="both"/>
            </w:pPr>
            <w:r w:rsidRPr="00704833">
              <w:t>Держстат</w:t>
            </w:r>
            <w:r w:rsidR="00CB2552" w:rsidRPr="00704833">
              <w:t>у</w:t>
            </w:r>
            <w:r w:rsidRPr="00704833">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 Кодекс</w:t>
            </w:r>
            <w:r w:rsidR="00CB2552" w:rsidRPr="00704833">
              <w:t>у</w:t>
            </w:r>
            <w:r w:rsidRPr="00704833">
              <w:t xml:space="preserve"> практики європейської статистики.</w:t>
            </w:r>
          </w:p>
          <w:p w:rsidR="00486066" w:rsidRPr="00704833" w:rsidRDefault="00486066" w:rsidP="00486066">
            <w:pPr>
              <w:ind w:firstLine="430"/>
              <w:jc w:val="both"/>
              <w:rPr>
                <w:color w:val="FF0000"/>
              </w:rPr>
            </w:pPr>
            <w:r w:rsidRPr="00704833">
              <w:t>Усі етапи проведення ДСС повністю відповідають Політиці з якості в органах державної статистики.</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S.11.2.  Оцінка якості</w:t>
            </w:r>
          </w:p>
        </w:tc>
        <w:tc>
          <w:tcPr>
            <w:tcW w:w="8647" w:type="dxa"/>
            <w:shd w:val="clear" w:color="auto" w:fill="auto"/>
          </w:tcPr>
          <w:p w:rsidR="00486066" w:rsidRPr="00704833" w:rsidRDefault="00486066" w:rsidP="00486066">
            <w:pPr>
              <w:widowControl w:val="0"/>
              <w:autoSpaceDE w:val="0"/>
              <w:autoSpaceDN w:val="0"/>
              <w:adjustRightInd w:val="0"/>
              <w:ind w:firstLine="430"/>
              <w:jc w:val="both"/>
            </w:pPr>
            <w:r w:rsidRPr="00704833">
              <w:t xml:space="preserve">ДСС проводиться з урахуванням Національної моделі </w:t>
            </w:r>
            <w:r w:rsidRPr="00704833">
              <w:br/>
              <w:t>діяльності органів державної статистики: https://ukrstat.gov.ua/norm_doc/dok/onmd_ODS.pdf</w:t>
            </w:r>
          </w:p>
          <w:p w:rsidR="00486066" w:rsidRPr="00704833" w:rsidRDefault="00486066" w:rsidP="00486066">
            <w:pPr>
              <w:ind w:firstLine="454"/>
              <w:jc w:val="both"/>
            </w:pPr>
            <w:r w:rsidRPr="00704833">
              <w:t xml:space="preserve">За цим ДСС були складені стандартні звіти з якості у 2016, 2022 роках, які оприлюднені на офіційному </w:t>
            </w:r>
            <w:proofErr w:type="spellStart"/>
            <w:r w:rsidRPr="00704833">
              <w:t>вебсайті</w:t>
            </w:r>
            <w:proofErr w:type="spellEnd"/>
            <w:r w:rsidR="00A26BE7">
              <w:rPr>
                <w:lang w:val="en-US"/>
              </w:rPr>
              <w:t xml:space="preserve"> </w:t>
            </w:r>
            <w:proofErr w:type="spellStart"/>
            <w:r w:rsidRPr="00704833">
              <w:t>Держстату</w:t>
            </w:r>
            <w:proofErr w:type="spellEnd"/>
            <w:r w:rsidRPr="00704833">
              <w:t xml:space="preserve"> у розділі "Діяльність"/"Статистичні спостереження"/"Звіти з якості"/"Зовнішньоекономічна діяльність".</w:t>
            </w:r>
          </w:p>
          <w:p w:rsidR="00486066" w:rsidRPr="00704833" w:rsidRDefault="00486066" w:rsidP="00486066">
            <w:pPr>
              <w:ind w:firstLine="454"/>
              <w:jc w:val="both"/>
            </w:pPr>
            <w:r w:rsidRPr="00704833">
              <w:t xml:space="preserve">За результатами оцінювання якості адміністративних даних, які </w:t>
            </w:r>
            <w:r w:rsidRPr="00704833">
              <w:lastRenderedPageBreak/>
              <w:t>використовуються для проведення ДСС:</w:t>
            </w:r>
          </w:p>
          <w:p w:rsidR="00D511E6" w:rsidRPr="00282296" w:rsidRDefault="00CB3CDD" w:rsidP="00D511E6">
            <w:pPr>
              <w:ind w:firstLine="454"/>
              <w:jc w:val="both"/>
            </w:pPr>
            <w:r w:rsidRPr="00704833">
              <w:t xml:space="preserve">адміністративні дані НБУ (переліки кодів ЄДРПОУ підприємств, що отримують або здійснюють платежі за експорт-імпорт послуг) </w:t>
            </w:r>
            <w:r w:rsidR="00D511E6" w:rsidRPr="00704833">
              <w:t xml:space="preserve">отримали </w:t>
            </w:r>
            <w:r w:rsidR="00282296" w:rsidRPr="00282296">
              <w:t>хорошу</w:t>
            </w:r>
            <w:r w:rsidR="00D511E6" w:rsidRPr="00704833">
              <w:t xml:space="preserve"> оцінку </w:t>
            </w:r>
            <w:r w:rsidR="00D511E6" w:rsidRPr="00282296">
              <w:t>та можуть уважатися релевантними</w:t>
            </w:r>
            <w:r w:rsidR="00A26BE7">
              <w:rPr>
                <w:lang w:val="en-US"/>
              </w:rPr>
              <w:t xml:space="preserve"> </w:t>
            </w:r>
            <w:r w:rsidR="00D511E6" w:rsidRPr="00704833">
              <w:t xml:space="preserve">для використання їх </w:t>
            </w:r>
            <w:r w:rsidR="00D511E6" w:rsidRPr="00282296">
              <w:t>у</w:t>
            </w:r>
            <w:r w:rsidR="00A26BE7">
              <w:rPr>
                <w:lang w:val="en-US"/>
              </w:rPr>
              <w:t xml:space="preserve"> </w:t>
            </w:r>
            <w:r w:rsidR="00D511E6" w:rsidRPr="00704833">
              <w:t>статистич</w:t>
            </w:r>
            <w:r w:rsidR="00D511E6">
              <w:t>них ціл</w:t>
            </w:r>
            <w:r w:rsidR="00D511E6" w:rsidRPr="00282296">
              <w:t>ях</w:t>
            </w:r>
            <w:r w:rsidR="00D511E6" w:rsidRPr="00704833">
              <w:t>;</w:t>
            </w:r>
          </w:p>
          <w:p w:rsidR="00CB3CDD" w:rsidRPr="00913E58" w:rsidRDefault="00CB3CDD" w:rsidP="00CB3CDD">
            <w:pPr>
              <w:ind w:firstLine="454"/>
              <w:jc w:val="both"/>
            </w:pPr>
            <w:r w:rsidRPr="00913E58">
              <w:t xml:space="preserve">адміністративні дані МЗС (витрати, пов’язані з утриманням закордонних дипломатичних установ України) отримали </w:t>
            </w:r>
            <w:r w:rsidR="00475CC6" w:rsidRPr="00913E58">
              <w:t xml:space="preserve">хорошу </w:t>
            </w:r>
            <w:r w:rsidRPr="00913E58">
              <w:t xml:space="preserve">оцінку та можуть уважатися релевантними для використання їх </w:t>
            </w:r>
            <w:r w:rsidR="00214613" w:rsidRPr="00913E58">
              <w:t>у</w:t>
            </w:r>
            <w:r w:rsidRPr="00913E58">
              <w:t xml:space="preserve"> статистичних ціл</w:t>
            </w:r>
            <w:r w:rsidR="00214613" w:rsidRPr="00913E58">
              <w:t>ях</w:t>
            </w:r>
            <w:r w:rsidRPr="00913E58">
              <w:t>;</w:t>
            </w:r>
          </w:p>
          <w:p w:rsidR="00486066" w:rsidRPr="00282296" w:rsidRDefault="00CB3CDD" w:rsidP="00475CC6">
            <w:pPr>
              <w:ind w:firstLine="454"/>
              <w:jc w:val="both"/>
            </w:pPr>
            <w:r w:rsidRPr="00913E58">
              <w:t xml:space="preserve">адміністративні дані Адміністрації </w:t>
            </w:r>
            <w:proofErr w:type="spellStart"/>
            <w:r w:rsidRPr="00913E58">
              <w:t>Держприкордонслужби</w:t>
            </w:r>
            <w:proofErr w:type="spellEnd"/>
            <w:r w:rsidR="00A26BE7">
              <w:rPr>
                <w:lang w:val="en-US"/>
              </w:rPr>
              <w:t xml:space="preserve"> </w:t>
            </w:r>
            <w:r w:rsidRPr="00913E58">
              <w:t xml:space="preserve">(кількість іноземних громадян, що в’їхали в Україну, та кількість громадян України, що виїхали за кордон протягом року) отримали </w:t>
            </w:r>
            <w:r w:rsidR="00475CC6" w:rsidRPr="00913E58">
              <w:t>хорошу</w:t>
            </w:r>
            <w:r w:rsidRPr="00913E58">
              <w:t xml:space="preserve"> оцінку та можуть уважатися релевантними для використання їх </w:t>
            </w:r>
            <w:r w:rsidR="00214613" w:rsidRPr="00913E58">
              <w:t>у статистичних цілях</w:t>
            </w:r>
            <w:r w:rsidRPr="00913E58">
              <w:t>.</w:t>
            </w:r>
          </w:p>
        </w:tc>
      </w:tr>
      <w:tr w:rsidR="00486066" w:rsidRPr="00704833" w:rsidTr="006023BA">
        <w:tc>
          <w:tcPr>
            <w:tcW w:w="14459" w:type="dxa"/>
            <w:gridSpan w:val="2"/>
            <w:shd w:val="clear" w:color="auto" w:fill="auto"/>
          </w:tcPr>
          <w:p w:rsidR="00486066" w:rsidRPr="00704833" w:rsidRDefault="00486066" w:rsidP="00486066">
            <w:pPr>
              <w:widowControl w:val="0"/>
              <w:autoSpaceDE w:val="0"/>
              <w:autoSpaceDN w:val="0"/>
              <w:adjustRightInd w:val="0"/>
            </w:pPr>
            <w:r w:rsidRPr="00704833">
              <w:lastRenderedPageBreak/>
              <w:t xml:space="preserve">S.12.  </w:t>
            </w:r>
            <w:r w:rsidRPr="00704833">
              <w:rPr>
                <w:szCs w:val="20"/>
                <w:lang w:eastAsia="ru-RU"/>
              </w:rPr>
              <w:t>Актуальність</w:t>
            </w:r>
          </w:p>
        </w:tc>
      </w:tr>
      <w:tr w:rsidR="00486066" w:rsidRPr="00704833" w:rsidTr="006023BA">
        <w:tc>
          <w:tcPr>
            <w:tcW w:w="5812" w:type="dxa"/>
            <w:shd w:val="clear" w:color="auto" w:fill="auto"/>
          </w:tcPr>
          <w:p w:rsidR="00486066" w:rsidRPr="00704833" w:rsidRDefault="00486066" w:rsidP="00486066">
            <w:pPr>
              <w:widowControl w:val="0"/>
              <w:autoSpaceDE w:val="0"/>
              <w:autoSpaceDN w:val="0"/>
              <w:adjustRightInd w:val="0"/>
            </w:pPr>
            <w:r w:rsidRPr="00704833">
              <w:t xml:space="preserve">S.12.1. Потреби користувачів  </w:t>
            </w:r>
          </w:p>
        </w:tc>
        <w:tc>
          <w:tcPr>
            <w:tcW w:w="8647" w:type="dxa"/>
            <w:shd w:val="clear" w:color="auto" w:fill="auto"/>
          </w:tcPr>
          <w:p w:rsidR="00CB3CDD" w:rsidRPr="00704833" w:rsidRDefault="00CB3CDD" w:rsidP="00CB3CDD">
            <w:pPr>
              <w:ind w:firstLine="458"/>
              <w:jc w:val="both"/>
            </w:pPr>
            <w:r w:rsidRPr="00704833">
              <w:t xml:space="preserve">Користувачами даних ДСС можуть бути </w:t>
            </w:r>
            <w:r w:rsidR="00F075E7" w:rsidRPr="00704833">
              <w:t xml:space="preserve">органи державної влади та місцевого самоврядування, науковці та дослідники, медіа (засоби масової інформації), міжнародні організації, </w:t>
            </w:r>
            <w:r w:rsidR="00F075E7" w:rsidRPr="00704833">
              <w:rPr>
                <w:color w:val="000000"/>
              </w:rPr>
              <w:t>бізнес (підприємства, установи, організації</w:t>
            </w:r>
            <w:r w:rsidR="00F075E7" w:rsidRPr="00704833">
              <w:t>), фізичні особи</w:t>
            </w:r>
            <w:r w:rsidRPr="00704833">
              <w:t>.</w:t>
            </w:r>
          </w:p>
          <w:p w:rsidR="00486066" w:rsidRPr="00704833" w:rsidRDefault="00CB3CDD" w:rsidP="00A73A92">
            <w:pPr>
              <w:ind w:firstLine="458"/>
              <w:jc w:val="both"/>
            </w:pPr>
            <w:r w:rsidRPr="004B56B3">
              <w:t>Пропозиції користувачів за результатами анкетного опитування</w:t>
            </w:r>
            <w:r w:rsidR="00A73A92" w:rsidRPr="004B56B3">
              <w:t>, проведеного у серпні 2020 року,</w:t>
            </w:r>
            <w:r w:rsidRPr="00704833">
              <w:t xml:space="preserve">та інформація щодо їх урахування доступні на офіційному </w:t>
            </w:r>
            <w:proofErr w:type="spellStart"/>
            <w:r w:rsidRPr="00704833">
              <w:t>вебсайті</w:t>
            </w:r>
            <w:proofErr w:type="spellEnd"/>
            <w:r w:rsidR="00A26BE7">
              <w:rPr>
                <w:lang w:val="en-US"/>
              </w:rPr>
              <w:t xml:space="preserve"> </w:t>
            </w:r>
            <w:proofErr w:type="spellStart"/>
            <w:r w:rsidRPr="00704833">
              <w:t>Держстату</w:t>
            </w:r>
            <w:proofErr w:type="spellEnd"/>
            <w:r w:rsidRPr="00704833">
              <w:t xml:space="preserve"> в розділі "Анкетні опитування" за посиланням</w:t>
            </w:r>
            <w:r w:rsidR="00F075E7" w:rsidRPr="00704833">
              <w:t>:</w:t>
            </w:r>
            <w:r w:rsidRPr="00704833">
              <w:t>https://www.ukrstat.gov.ua/anketa/2020/povid/povid_torg_poslugamu.docx</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pPr>
            <w:r w:rsidRPr="00704833">
              <w:t>S.12.2. Задоволення користувачів</w:t>
            </w:r>
          </w:p>
        </w:tc>
        <w:tc>
          <w:tcPr>
            <w:tcW w:w="8647" w:type="dxa"/>
            <w:shd w:val="clear" w:color="auto" w:fill="auto"/>
          </w:tcPr>
          <w:p w:rsidR="00CB3CDD" w:rsidRPr="00704833" w:rsidRDefault="00CB3CDD" w:rsidP="00CB3CDD">
            <w:pPr>
              <w:ind w:firstLine="425"/>
              <w:jc w:val="both"/>
            </w:pPr>
            <w:r w:rsidRPr="00704833">
              <w:t>Держстат розраховує індекс задоволеності користувачів статистичної інформації, який у 2023 році склав 86,8% (у 2022 році – 84,3%).</w:t>
            </w:r>
          </w:p>
          <w:p w:rsidR="00CB3CDD" w:rsidRPr="00704833" w:rsidRDefault="00CB3CDD" w:rsidP="00CB3CDD">
            <w:pPr>
              <w:ind w:firstLine="425"/>
              <w:jc w:val="both"/>
            </w:pPr>
            <w:r w:rsidRPr="00704833">
              <w:lastRenderedPageBreak/>
              <w:t>У серпні 2020 року проведено анкетне опитування користувачів статистичної інформації з метою вивчення ступеня відповідності потребам користувачів статистичної інформації щодо показників статистики зовнішньої торгівлі послугами та аналогічних статистичних публікаціях територіальних органів Держстату, а також визначення оцінки якості зазначеної статистичної інформації.</w:t>
            </w:r>
          </w:p>
          <w:p w:rsidR="00CB3CDD" w:rsidRPr="00704833" w:rsidRDefault="00CB3CDD" w:rsidP="00CB3CDD">
            <w:pPr>
              <w:ind w:firstLine="425"/>
              <w:jc w:val="both"/>
            </w:pPr>
            <w:r w:rsidRPr="00704833">
              <w:t>Основні висновки за результатами анкетного опитування:</w:t>
            </w:r>
          </w:p>
          <w:p w:rsidR="00CB3CDD" w:rsidRPr="00704833" w:rsidRDefault="00CB3CDD" w:rsidP="00CB3CDD">
            <w:pPr>
              <w:ind w:firstLine="425"/>
              <w:jc w:val="both"/>
            </w:pPr>
            <w:r w:rsidRPr="00704833">
              <w:t>45% опитаних зазначили, що статистична інформація з тематики опитування є додатковою складовою їхньої діяльності та важливою, 7% – основною;</w:t>
            </w:r>
          </w:p>
          <w:p w:rsidR="00CB3CDD" w:rsidRPr="00704833" w:rsidRDefault="00CB3CDD" w:rsidP="00CB3CDD">
            <w:pPr>
              <w:ind w:firstLine="425"/>
              <w:jc w:val="both"/>
            </w:pPr>
            <w:r w:rsidRPr="00704833">
              <w:t xml:space="preserve">91% користувачів отримують необхідну інформацію електронними засобами (Інтернет, </w:t>
            </w:r>
            <w:proofErr w:type="spellStart"/>
            <w:r w:rsidRPr="00704833">
              <w:t>вебсайт</w:t>
            </w:r>
            <w:proofErr w:type="spellEnd"/>
            <w:r w:rsidR="00A26BE7">
              <w:rPr>
                <w:lang w:val="en-US"/>
              </w:rPr>
              <w:t xml:space="preserve"> </w:t>
            </w:r>
            <w:proofErr w:type="spellStart"/>
            <w:r w:rsidRPr="00704833">
              <w:t>Держстату</w:t>
            </w:r>
            <w:proofErr w:type="spellEnd"/>
            <w:r w:rsidRPr="00704833">
              <w:t>/ТОД та ін.), 43% опитаних отримують її у відповідях на запити, 8% – через засоби масової інформації;</w:t>
            </w:r>
          </w:p>
          <w:p w:rsidR="00CB3CDD" w:rsidRPr="00704833" w:rsidRDefault="00CB3CDD" w:rsidP="00CB3CDD">
            <w:pPr>
              <w:ind w:firstLine="425"/>
              <w:jc w:val="both"/>
            </w:pPr>
            <w:r w:rsidRPr="00704833">
              <w:t>68% опитаних використовують статистичну інформацію щодо показників статистики зовнішньої торгівлі послугами, розміщену на</w:t>
            </w:r>
            <w:r w:rsidR="00A26BE7" w:rsidRPr="00704833">
              <w:t xml:space="preserve"> офіційному</w:t>
            </w:r>
            <w:r w:rsidR="00A26BE7">
              <w:rPr>
                <w:lang w:val="en-US"/>
              </w:rPr>
              <w:t xml:space="preserve"> </w:t>
            </w:r>
            <w:proofErr w:type="spellStart"/>
            <w:r w:rsidRPr="00704833">
              <w:t>вебсайті</w:t>
            </w:r>
            <w:proofErr w:type="spellEnd"/>
            <w:r w:rsidR="00A26BE7">
              <w:rPr>
                <w:lang w:val="en-US"/>
              </w:rPr>
              <w:t xml:space="preserve"> </w:t>
            </w:r>
            <w:proofErr w:type="spellStart"/>
            <w:r w:rsidRPr="00704833">
              <w:t>Держстату</w:t>
            </w:r>
            <w:proofErr w:type="spellEnd"/>
            <w:r w:rsidRPr="00704833">
              <w:t>, у своїй діяльності періодично, 24% ‒ постійно;</w:t>
            </w:r>
          </w:p>
          <w:p w:rsidR="00CB3CDD" w:rsidRPr="00704833" w:rsidRDefault="00CB3CDD" w:rsidP="00CB3CDD">
            <w:pPr>
              <w:ind w:firstLine="425"/>
              <w:jc w:val="both"/>
            </w:pPr>
            <w:r w:rsidRPr="00704833">
              <w:t>63% користувачів використовують статистичну інформацію для аналізу та прогнозування соціально-економічного розвитку країни та регіонів; для аналізу стану зовнішньоекономічних відносин України з іншими країнами світу – 49%; для моніторингу виконання загальнодержавних і регіональних програм розвитку – 39%; для розробки концепцій, програм, законодавчих та нормативно-правових актів, інших документів – 26%; для здійснення міжнародних порівнянь – 24%; для наукових досліджень – 16%;</w:t>
            </w:r>
          </w:p>
          <w:p w:rsidR="00CB3CDD" w:rsidRPr="00704833" w:rsidRDefault="00CB3CDD" w:rsidP="00CB3CDD">
            <w:pPr>
              <w:ind w:firstLine="425"/>
              <w:jc w:val="both"/>
            </w:pPr>
            <w:r w:rsidRPr="00704833">
              <w:t xml:space="preserve">95% опитаних використовують у своїй діяльності статистичні публікації органів державної статистики щодо показників статистики </w:t>
            </w:r>
            <w:r w:rsidRPr="00704833">
              <w:lastRenderedPageBreak/>
              <w:t>зовнішньої торгівлі послугами;</w:t>
            </w:r>
          </w:p>
          <w:p w:rsidR="00CB3CDD" w:rsidRPr="00704833" w:rsidRDefault="00CB3CDD" w:rsidP="00CB3CDD">
            <w:pPr>
              <w:ind w:firstLine="425"/>
              <w:jc w:val="both"/>
            </w:pPr>
            <w:r w:rsidRPr="00704833">
              <w:t>90% опитаних на "</w:t>
            </w:r>
            <w:r w:rsidR="004B56B3">
              <w:t>в</w:t>
            </w:r>
            <w:r w:rsidRPr="00704833">
              <w:t>ідмінно" та "</w:t>
            </w:r>
            <w:r w:rsidR="004B56B3">
              <w:t>д</w:t>
            </w:r>
            <w:r w:rsidRPr="00704833">
              <w:t>обре" оцінили інформаційне забезпечення користувачів з тематики опитування;</w:t>
            </w:r>
          </w:p>
          <w:p w:rsidR="00CB3CDD" w:rsidRPr="00704833" w:rsidRDefault="00CB3CDD" w:rsidP="00CB3CDD">
            <w:pPr>
              <w:ind w:firstLine="425"/>
              <w:jc w:val="both"/>
            </w:pPr>
            <w:r w:rsidRPr="00704833">
              <w:t>22% опитаних вказали на поліпшення якості інформаційного забезпечення показників статистики зовнішньої торгівлі послугами порівняно з минулим роком/попереднім зверненням, 60% вважають, що вона залишилась без змін.</w:t>
            </w:r>
          </w:p>
          <w:p w:rsidR="00CB3CDD" w:rsidRPr="00704833" w:rsidRDefault="00CB3CDD" w:rsidP="004B56B3">
            <w:pPr>
              <w:ind w:firstLine="425"/>
              <w:jc w:val="both"/>
            </w:pPr>
            <w:r w:rsidRPr="00704833">
              <w:t>Інформацію щодо проведення анкетних опитувань користувачів статистичної інформації наведено також у пункті S.11.2.</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rPr>
                <w:color w:val="FF0000"/>
              </w:rPr>
            </w:pPr>
            <w:r w:rsidRPr="00E8604B">
              <w:lastRenderedPageBreak/>
              <w:t xml:space="preserve">S.12.3. Рівень </w:t>
            </w:r>
            <w:proofErr w:type="spellStart"/>
            <w:r w:rsidRPr="00E8604B">
              <w:t>релевантності</w:t>
            </w:r>
            <w:proofErr w:type="spellEnd"/>
            <w:r w:rsidRPr="00E8604B">
              <w:t xml:space="preserve"> інформації (R1(U))</w:t>
            </w:r>
          </w:p>
        </w:tc>
        <w:tc>
          <w:tcPr>
            <w:tcW w:w="8647" w:type="dxa"/>
            <w:shd w:val="clear" w:color="auto" w:fill="auto"/>
          </w:tcPr>
          <w:p w:rsidR="00DE2C75" w:rsidRPr="00704833" w:rsidRDefault="00DE2C75" w:rsidP="00DE2C75">
            <w:pPr>
              <w:ind w:firstLine="454"/>
              <w:jc w:val="both"/>
              <w:rPr>
                <w:color w:val="000000" w:themeColor="text1"/>
              </w:rPr>
            </w:pPr>
            <w:r w:rsidRPr="00704833">
              <w:t xml:space="preserve">Інформація цього спостереження до </w:t>
            </w:r>
            <w:r w:rsidR="00B211BE">
              <w:t>І кварталу</w:t>
            </w:r>
            <w:r w:rsidRPr="00704833">
              <w:t xml:space="preserve"> 2022 року надавалася у повному обсязі відповідно до плану державних статистичних спостережень </w:t>
            </w:r>
            <w:r w:rsidRPr="00704833">
              <w:rPr>
                <w:color w:val="000000" w:themeColor="text1"/>
              </w:rPr>
              <w:t>на відповідний рік.</w:t>
            </w:r>
          </w:p>
          <w:p w:rsidR="00DE2C75" w:rsidRPr="00704833" w:rsidRDefault="00DE2C75" w:rsidP="00DE2C75">
            <w:pPr>
              <w:ind w:firstLine="454"/>
              <w:jc w:val="both"/>
            </w:pPr>
            <w:r w:rsidRPr="00704833">
              <w:t>R1</w:t>
            </w:r>
            <w:r w:rsidR="00A26BE7">
              <w:rPr>
                <w:lang w:val="en-US"/>
              </w:rPr>
              <w:t xml:space="preserve"> </w:t>
            </w:r>
            <w:r w:rsidRPr="00704833">
              <w:t xml:space="preserve">(U) = 1. </w:t>
            </w:r>
          </w:p>
          <w:p w:rsidR="00DE2C75" w:rsidRPr="00704833" w:rsidRDefault="00DE2C75" w:rsidP="00DE2C75">
            <w:pPr>
              <w:ind w:firstLine="454"/>
              <w:jc w:val="both"/>
              <w:rPr>
                <w:color w:val="000000" w:themeColor="text1"/>
              </w:rPr>
            </w:pPr>
            <w:r w:rsidRPr="00704833">
              <w:rPr>
                <w:color w:val="000000" w:themeColor="text1"/>
              </w:rPr>
              <w:t>В умовах дії воєнного стану:</w:t>
            </w:r>
          </w:p>
          <w:p w:rsidR="00770166" w:rsidRPr="00704833" w:rsidRDefault="00770166" w:rsidP="00770166">
            <w:pPr>
              <w:ind w:firstLine="454"/>
              <w:jc w:val="both"/>
              <w:rPr>
                <w:color w:val="000000" w:themeColor="text1"/>
              </w:rPr>
            </w:pPr>
            <w:r w:rsidRPr="00704833">
              <w:rPr>
                <w:color w:val="000000" w:themeColor="text1"/>
              </w:rPr>
              <w:t xml:space="preserve">За показником </w:t>
            </w:r>
            <w:r w:rsidRPr="00704833">
              <w:t>"</w:t>
            </w:r>
            <w:r w:rsidR="00B211BE">
              <w:t>Е</w:t>
            </w:r>
            <w:r w:rsidR="00B211BE" w:rsidRPr="005F638A">
              <w:t>кспорт послуг</w:t>
            </w:r>
            <w:r w:rsidRPr="00704833">
              <w:rPr>
                <w:color w:val="000000" w:themeColor="text1"/>
              </w:rPr>
              <w:t xml:space="preserve">за видами" у 2023 році статистична інформація, у якій існує потреба в її користувачів </w:t>
            </w:r>
            <w:r w:rsidR="00124172">
              <w:t>(відповідає 42 коміркам із даними),</w:t>
            </w:r>
            <w:r w:rsidRPr="00704833">
              <w:rPr>
                <w:color w:val="000000" w:themeColor="text1"/>
              </w:rPr>
              <w:t xml:space="preserve"> дорівнює відповідній інформації за показниками та їх розрізами, що передбачені планом ДСС на 2023 рік.</w:t>
            </w:r>
          </w:p>
          <w:p w:rsidR="00770166" w:rsidRDefault="00770166" w:rsidP="00770166">
            <w:pPr>
              <w:ind w:firstLine="454"/>
              <w:jc w:val="both"/>
              <w:rPr>
                <w:color w:val="000000" w:themeColor="text1"/>
              </w:rPr>
            </w:pPr>
            <w:r w:rsidRPr="00704833">
              <w:rPr>
                <w:color w:val="000000" w:themeColor="text1"/>
              </w:rPr>
              <w:t>R1</w:t>
            </w:r>
            <w:r w:rsidR="00A26BE7">
              <w:rPr>
                <w:color w:val="000000" w:themeColor="text1"/>
                <w:lang w:val="en-US"/>
              </w:rPr>
              <w:t xml:space="preserve"> </w:t>
            </w:r>
            <w:r w:rsidRPr="00704833">
              <w:rPr>
                <w:color w:val="000000" w:themeColor="text1"/>
              </w:rPr>
              <w:t>(U)</w:t>
            </w:r>
            <w:r w:rsidR="00B9031C" w:rsidRPr="00B9031C">
              <w:rPr>
                <w:color w:val="000000" w:themeColor="text1"/>
                <w:vertAlign w:val="subscript"/>
              </w:rPr>
              <w:t>1</w:t>
            </w:r>
            <w:r w:rsidRPr="00704833">
              <w:rPr>
                <w:color w:val="000000" w:themeColor="text1"/>
              </w:rPr>
              <w:t xml:space="preserve"> = </w:t>
            </w:r>
            <w:r w:rsidR="00124172">
              <w:rPr>
                <w:color w:val="000000" w:themeColor="text1"/>
              </w:rPr>
              <w:t xml:space="preserve">42/42 = </w:t>
            </w:r>
            <w:r w:rsidRPr="00704833">
              <w:rPr>
                <w:color w:val="000000" w:themeColor="text1"/>
              </w:rPr>
              <w:t>1</w:t>
            </w:r>
            <w:r w:rsidR="00124172">
              <w:rPr>
                <w:color w:val="000000" w:themeColor="text1"/>
              </w:rPr>
              <w:t>;</w:t>
            </w:r>
          </w:p>
          <w:p w:rsidR="00124172" w:rsidRPr="00704833" w:rsidRDefault="00124172" w:rsidP="00124172">
            <w:pPr>
              <w:ind w:firstLine="454"/>
              <w:jc w:val="both"/>
              <w:rPr>
                <w:color w:val="000000" w:themeColor="text1"/>
              </w:rPr>
            </w:pPr>
            <w:r w:rsidRPr="00704833">
              <w:rPr>
                <w:color w:val="000000" w:themeColor="text1"/>
              </w:rPr>
              <w:t xml:space="preserve">За показником </w:t>
            </w:r>
            <w:r w:rsidRPr="00704833">
              <w:t>"</w:t>
            </w:r>
            <w:r>
              <w:t>П</w:t>
            </w:r>
            <w:r w:rsidRPr="005F638A">
              <w:t>итома вага експорту послуг</w:t>
            </w:r>
            <w:r w:rsidRPr="00704833">
              <w:rPr>
                <w:color w:val="000000" w:themeColor="text1"/>
              </w:rPr>
              <w:t xml:space="preserve"> за видами" у 2023 році статистична інформація, у якій існує потреба в її користувачів </w:t>
            </w:r>
            <w:r>
              <w:t>(відповідає 42 коміркам із даними),</w:t>
            </w:r>
            <w:r w:rsidRPr="00704833">
              <w:rPr>
                <w:color w:val="000000" w:themeColor="text1"/>
              </w:rPr>
              <w:t xml:space="preserve"> дорівнює відповідній інформації за показниками та їх розрізами, що передбачені планом ДСС на 2023 рік.</w:t>
            </w:r>
          </w:p>
          <w:p w:rsidR="00124172" w:rsidRDefault="00124172" w:rsidP="00124172">
            <w:pPr>
              <w:ind w:firstLine="454"/>
              <w:jc w:val="both"/>
              <w:rPr>
                <w:color w:val="000000" w:themeColor="text1"/>
              </w:rPr>
            </w:pPr>
            <w:r w:rsidRPr="00704833">
              <w:rPr>
                <w:color w:val="000000" w:themeColor="text1"/>
              </w:rPr>
              <w:t>R1</w:t>
            </w:r>
            <w:r w:rsidR="00A26BE7">
              <w:rPr>
                <w:color w:val="000000" w:themeColor="text1"/>
                <w:lang w:val="en-US"/>
              </w:rPr>
              <w:t xml:space="preserve"> </w:t>
            </w:r>
            <w:r w:rsidRPr="00704833">
              <w:rPr>
                <w:color w:val="000000" w:themeColor="text1"/>
              </w:rPr>
              <w:t>(U)</w:t>
            </w:r>
            <w:r w:rsidR="00B9031C" w:rsidRPr="00B9031C">
              <w:rPr>
                <w:color w:val="000000" w:themeColor="text1"/>
                <w:vertAlign w:val="subscript"/>
              </w:rPr>
              <w:t>2</w:t>
            </w:r>
            <w:r w:rsidRPr="00704833">
              <w:rPr>
                <w:color w:val="000000" w:themeColor="text1"/>
              </w:rPr>
              <w:t xml:space="preserve"> = </w:t>
            </w:r>
            <w:r>
              <w:rPr>
                <w:color w:val="000000" w:themeColor="text1"/>
              </w:rPr>
              <w:t xml:space="preserve">42/42 = </w:t>
            </w:r>
            <w:r w:rsidRPr="00704833">
              <w:rPr>
                <w:color w:val="000000" w:themeColor="text1"/>
              </w:rPr>
              <w:t>1</w:t>
            </w:r>
            <w:r>
              <w:rPr>
                <w:color w:val="000000" w:themeColor="text1"/>
              </w:rPr>
              <w:t>;</w:t>
            </w:r>
          </w:p>
          <w:p w:rsidR="00124172" w:rsidRPr="00704833" w:rsidRDefault="00124172" w:rsidP="00124172">
            <w:pPr>
              <w:ind w:firstLine="454"/>
              <w:jc w:val="both"/>
              <w:rPr>
                <w:color w:val="000000" w:themeColor="text1"/>
              </w:rPr>
            </w:pPr>
            <w:r w:rsidRPr="00704833">
              <w:rPr>
                <w:color w:val="000000" w:themeColor="text1"/>
              </w:rPr>
              <w:t xml:space="preserve">За показником </w:t>
            </w:r>
            <w:r w:rsidRPr="00704833">
              <w:t>"</w:t>
            </w:r>
            <w:r>
              <w:t>Т</w:t>
            </w:r>
            <w:r w:rsidRPr="005F638A">
              <w:t>емп зростання/зниження експорту послуг до відповідного періоду попереднього року</w:t>
            </w:r>
            <w:r w:rsidRPr="00704833">
              <w:rPr>
                <w:color w:val="000000" w:themeColor="text1"/>
              </w:rPr>
              <w:t xml:space="preserve"> за видами" у 2023 році </w:t>
            </w:r>
            <w:r w:rsidRPr="00704833">
              <w:rPr>
                <w:color w:val="000000" w:themeColor="text1"/>
              </w:rPr>
              <w:lastRenderedPageBreak/>
              <w:t xml:space="preserve">статистична інформація, у якій існує потреба в її користувачів </w:t>
            </w:r>
            <w:r>
              <w:t>(відповідає 42 коміркам із даними),</w:t>
            </w:r>
            <w:r w:rsidRPr="00704833">
              <w:rPr>
                <w:color w:val="000000" w:themeColor="text1"/>
              </w:rPr>
              <w:t xml:space="preserve"> дорівнює відповідній інформації за показниками та їх розрізами, що передбачені планом ДСС на 2023 рік.</w:t>
            </w:r>
          </w:p>
          <w:p w:rsidR="00124172" w:rsidRDefault="00124172" w:rsidP="00124172">
            <w:pPr>
              <w:ind w:firstLine="454"/>
              <w:jc w:val="both"/>
              <w:rPr>
                <w:color w:val="000000" w:themeColor="text1"/>
              </w:rPr>
            </w:pPr>
            <w:r w:rsidRPr="00704833">
              <w:rPr>
                <w:color w:val="000000" w:themeColor="text1"/>
              </w:rPr>
              <w:t>R1</w:t>
            </w:r>
            <w:r w:rsidR="00A26BE7">
              <w:rPr>
                <w:color w:val="000000" w:themeColor="text1"/>
                <w:lang w:val="en-US"/>
              </w:rPr>
              <w:t xml:space="preserve"> </w:t>
            </w:r>
            <w:r w:rsidRPr="00704833">
              <w:rPr>
                <w:color w:val="000000" w:themeColor="text1"/>
              </w:rPr>
              <w:t>(U)</w:t>
            </w:r>
            <w:r w:rsidR="00B9031C" w:rsidRPr="00B9031C">
              <w:rPr>
                <w:color w:val="000000" w:themeColor="text1"/>
                <w:vertAlign w:val="subscript"/>
              </w:rPr>
              <w:t>3</w:t>
            </w:r>
            <w:r w:rsidRPr="00704833">
              <w:rPr>
                <w:color w:val="000000" w:themeColor="text1"/>
              </w:rPr>
              <w:t xml:space="preserve"> = </w:t>
            </w:r>
            <w:r>
              <w:rPr>
                <w:color w:val="000000" w:themeColor="text1"/>
              </w:rPr>
              <w:t xml:space="preserve">42/42 = </w:t>
            </w:r>
            <w:r w:rsidRPr="00704833">
              <w:rPr>
                <w:color w:val="000000" w:themeColor="text1"/>
              </w:rPr>
              <w:t>1</w:t>
            </w:r>
            <w:r>
              <w:rPr>
                <w:color w:val="000000" w:themeColor="text1"/>
              </w:rPr>
              <w:t>;</w:t>
            </w:r>
          </w:p>
          <w:p w:rsidR="00124172" w:rsidRPr="00704833" w:rsidRDefault="00124172" w:rsidP="00124172">
            <w:pPr>
              <w:ind w:firstLine="454"/>
              <w:jc w:val="both"/>
              <w:rPr>
                <w:color w:val="000000" w:themeColor="text1"/>
              </w:rPr>
            </w:pPr>
            <w:r w:rsidRPr="00704833">
              <w:rPr>
                <w:color w:val="000000" w:themeColor="text1"/>
              </w:rPr>
              <w:t xml:space="preserve">За показником </w:t>
            </w:r>
            <w:r w:rsidRPr="00704833">
              <w:t>"</w:t>
            </w:r>
            <w:r>
              <w:t>Імпорт</w:t>
            </w:r>
            <w:r w:rsidRPr="005F638A">
              <w:t xml:space="preserve"> послуг</w:t>
            </w:r>
            <w:r w:rsidRPr="00704833">
              <w:rPr>
                <w:color w:val="000000" w:themeColor="text1"/>
              </w:rPr>
              <w:t xml:space="preserve">за видами" у 2023 році статистична інформація, у якій існує потреба в її користувачів </w:t>
            </w:r>
            <w:r>
              <w:t>(відповідає 4</w:t>
            </w:r>
            <w:r w:rsidR="00B9031C">
              <w:t>3</w:t>
            </w:r>
            <w:r>
              <w:t xml:space="preserve"> коміркам із даними),</w:t>
            </w:r>
            <w:r w:rsidRPr="00704833">
              <w:rPr>
                <w:color w:val="000000" w:themeColor="text1"/>
              </w:rPr>
              <w:t xml:space="preserve"> дорівнює відповідній інформації за показниками та їх розрізами, що передбачені планом ДСС на 2023 рік.</w:t>
            </w:r>
          </w:p>
          <w:p w:rsidR="00124172" w:rsidRDefault="00124172" w:rsidP="00124172">
            <w:pPr>
              <w:ind w:firstLine="454"/>
              <w:jc w:val="both"/>
              <w:rPr>
                <w:color w:val="000000" w:themeColor="text1"/>
              </w:rPr>
            </w:pPr>
            <w:r w:rsidRPr="00704833">
              <w:rPr>
                <w:color w:val="000000" w:themeColor="text1"/>
              </w:rPr>
              <w:t>R1</w:t>
            </w:r>
            <w:r w:rsidR="00A26BE7">
              <w:rPr>
                <w:color w:val="000000" w:themeColor="text1"/>
                <w:lang w:val="en-US"/>
              </w:rPr>
              <w:t xml:space="preserve"> </w:t>
            </w:r>
            <w:r w:rsidRPr="00704833">
              <w:rPr>
                <w:color w:val="000000" w:themeColor="text1"/>
              </w:rPr>
              <w:t>(U)</w:t>
            </w:r>
            <w:r w:rsidR="00B9031C" w:rsidRPr="00B9031C">
              <w:rPr>
                <w:color w:val="000000" w:themeColor="text1"/>
                <w:vertAlign w:val="subscript"/>
              </w:rPr>
              <w:t>4</w:t>
            </w:r>
            <w:r w:rsidRPr="00704833">
              <w:rPr>
                <w:color w:val="000000" w:themeColor="text1"/>
              </w:rPr>
              <w:t xml:space="preserve"> = </w:t>
            </w:r>
            <w:r>
              <w:rPr>
                <w:color w:val="000000" w:themeColor="text1"/>
              </w:rPr>
              <w:t>4</w:t>
            </w:r>
            <w:r w:rsidR="00B9031C">
              <w:rPr>
                <w:color w:val="000000" w:themeColor="text1"/>
              </w:rPr>
              <w:t>3</w:t>
            </w:r>
            <w:r>
              <w:rPr>
                <w:color w:val="000000" w:themeColor="text1"/>
              </w:rPr>
              <w:t>/4</w:t>
            </w:r>
            <w:r w:rsidR="00B9031C">
              <w:rPr>
                <w:color w:val="000000" w:themeColor="text1"/>
              </w:rPr>
              <w:t>3</w:t>
            </w:r>
            <w:r>
              <w:rPr>
                <w:color w:val="000000" w:themeColor="text1"/>
              </w:rPr>
              <w:t xml:space="preserve"> = </w:t>
            </w:r>
            <w:r w:rsidRPr="00704833">
              <w:rPr>
                <w:color w:val="000000" w:themeColor="text1"/>
              </w:rPr>
              <w:t>1</w:t>
            </w:r>
            <w:r>
              <w:rPr>
                <w:color w:val="000000" w:themeColor="text1"/>
              </w:rPr>
              <w:t>;</w:t>
            </w:r>
          </w:p>
          <w:p w:rsidR="00124172" w:rsidRPr="00704833" w:rsidRDefault="00124172" w:rsidP="00124172">
            <w:pPr>
              <w:ind w:firstLine="454"/>
              <w:jc w:val="both"/>
              <w:rPr>
                <w:color w:val="000000" w:themeColor="text1"/>
              </w:rPr>
            </w:pPr>
            <w:r w:rsidRPr="00704833">
              <w:rPr>
                <w:color w:val="000000" w:themeColor="text1"/>
              </w:rPr>
              <w:t xml:space="preserve">За показником </w:t>
            </w:r>
            <w:r w:rsidRPr="00704833">
              <w:t>"</w:t>
            </w:r>
            <w:r>
              <w:t>П</w:t>
            </w:r>
            <w:r w:rsidRPr="005F638A">
              <w:t xml:space="preserve">итома вага </w:t>
            </w:r>
            <w:r>
              <w:t>імпорту</w:t>
            </w:r>
            <w:r w:rsidRPr="005F638A">
              <w:t xml:space="preserve"> послуг</w:t>
            </w:r>
            <w:r w:rsidRPr="00704833">
              <w:rPr>
                <w:color w:val="000000" w:themeColor="text1"/>
              </w:rPr>
              <w:t xml:space="preserve"> за видами" у 2023 році статистична інформація, у якій існує потреба в її користувачів </w:t>
            </w:r>
            <w:r>
              <w:t>(відповідає 4</w:t>
            </w:r>
            <w:r w:rsidR="00B9031C">
              <w:t>3</w:t>
            </w:r>
            <w:r>
              <w:t xml:space="preserve"> коміркам із даними),</w:t>
            </w:r>
            <w:r w:rsidRPr="00704833">
              <w:rPr>
                <w:color w:val="000000" w:themeColor="text1"/>
              </w:rPr>
              <w:t xml:space="preserve"> дорівнює відповідній інформації за показниками та їх розрізами, що передбачені планом ДСС на 2023 рік.</w:t>
            </w:r>
          </w:p>
          <w:p w:rsidR="00124172" w:rsidRDefault="00124172" w:rsidP="00124172">
            <w:pPr>
              <w:ind w:firstLine="454"/>
              <w:jc w:val="both"/>
              <w:rPr>
                <w:color w:val="000000" w:themeColor="text1"/>
              </w:rPr>
            </w:pPr>
            <w:r w:rsidRPr="00704833">
              <w:rPr>
                <w:color w:val="000000" w:themeColor="text1"/>
              </w:rPr>
              <w:t>R1</w:t>
            </w:r>
            <w:r w:rsidR="00A26BE7">
              <w:rPr>
                <w:color w:val="000000" w:themeColor="text1"/>
                <w:lang w:val="en-US"/>
              </w:rPr>
              <w:t xml:space="preserve"> </w:t>
            </w:r>
            <w:r w:rsidRPr="00704833">
              <w:rPr>
                <w:color w:val="000000" w:themeColor="text1"/>
              </w:rPr>
              <w:t>(U)</w:t>
            </w:r>
            <w:r w:rsidR="00B9031C" w:rsidRPr="00B9031C">
              <w:rPr>
                <w:color w:val="000000" w:themeColor="text1"/>
                <w:vertAlign w:val="subscript"/>
              </w:rPr>
              <w:t>5</w:t>
            </w:r>
            <w:r w:rsidRPr="00704833">
              <w:rPr>
                <w:color w:val="000000" w:themeColor="text1"/>
              </w:rPr>
              <w:t xml:space="preserve"> = </w:t>
            </w:r>
            <w:r>
              <w:rPr>
                <w:color w:val="000000" w:themeColor="text1"/>
              </w:rPr>
              <w:t>4</w:t>
            </w:r>
            <w:r w:rsidR="00B9031C">
              <w:rPr>
                <w:color w:val="000000" w:themeColor="text1"/>
              </w:rPr>
              <w:t>3</w:t>
            </w:r>
            <w:r>
              <w:rPr>
                <w:color w:val="000000" w:themeColor="text1"/>
              </w:rPr>
              <w:t>/4</w:t>
            </w:r>
            <w:r w:rsidR="00B9031C">
              <w:rPr>
                <w:color w:val="000000" w:themeColor="text1"/>
              </w:rPr>
              <w:t>3</w:t>
            </w:r>
            <w:r>
              <w:rPr>
                <w:color w:val="000000" w:themeColor="text1"/>
              </w:rPr>
              <w:t xml:space="preserve"> = </w:t>
            </w:r>
            <w:r w:rsidRPr="00704833">
              <w:rPr>
                <w:color w:val="000000" w:themeColor="text1"/>
              </w:rPr>
              <w:t>1</w:t>
            </w:r>
            <w:r>
              <w:rPr>
                <w:color w:val="000000" w:themeColor="text1"/>
              </w:rPr>
              <w:t>;</w:t>
            </w:r>
          </w:p>
          <w:p w:rsidR="00B211BE" w:rsidRDefault="00124172" w:rsidP="00B211BE">
            <w:pPr>
              <w:ind w:firstLine="430"/>
              <w:jc w:val="both"/>
            </w:pPr>
            <w:r w:rsidRPr="00704833">
              <w:rPr>
                <w:color w:val="000000" w:themeColor="text1"/>
              </w:rPr>
              <w:t xml:space="preserve">За показником </w:t>
            </w:r>
            <w:r w:rsidRPr="00704833">
              <w:t>"</w:t>
            </w:r>
            <w:r>
              <w:t>Т</w:t>
            </w:r>
            <w:r w:rsidRPr="005F638A">
              <w:t xml:space="preserve">емп зростання/зниження </w:t>
            </w:r>
            <w:r>
              <w:t>імпорту</w:t>
            </w:r>
            <w:r w:rsidRPr="005F638A">
              <w:t xml:space="preserve"> послуг до відповідного періоду попереднього року</w:t>
            </w:r>
            <w:r w:rsidRPr="00704833">
              <w:rPr>
                <w:color w:val="000000" w:themeColor="text1"/>
              </w:rPr>
              <w:t xml:space="preserve"> за видами" у 2023 році статистична інформація, у якій існує потреба в її користувачів </w:t>
            </w:r>
            <w:r>
              <w:t>(відповідає 4</w:t>
            </w:r>
            <w:r w:rsidR="00B9031C">
              <w:t>3</w:t>
            </w:r>
            <w:r>
              <w:t xml:space="preserve"> коміркам із даними),</w:t>
            </w:r>
            <w:r w:rsidRPr="00704833">
              <w:rPr>
                <w:color w:val="000000" w:themeColor="text1"/>
              </w:rPr>
              <w:t xml:space="preserve"> дорівнює відповідній інформації за показниками та їх розрізами,</w:t>
            </w:r>
          </w:p>
          <w:p w:rsidR="00B9031C" w:rsidRDefault="00B9031C" w:rsidP="00B9031C">
            <w:pPr>
              <w:ind w:firstLine="454"/>
              <w:jc w:val="both"/>
              <w:rPr>
                <w:color w:val="000000" w:themeColor="text1"/>
              </w:rPr>
            </w:pPr>
            <w:r w:rsidRPr="00704833">
              <w:rPr>
                <w:color w:val="000000" w:themeColor="text1"/>
              </w:rPr>
              <w:t>R1</w:t>
            </w:r>
            <w:r w:rsidR="00A26BE7">
              <w:rPr>
                <w:color w:val="000000" w:themeColor="text1"/>
                <w:lang w:val="en-US"/>
              </w:rPr>
              <w:t xml:space="preserve"> </w:t>
            </w:r>
            <w:r w:rsidRPr="00704833">
              <w:rPr>
                <w:color w:val="000000" w:themeColor="text1"/>
              </w:rPr>
              <w:t>(U)</w:t>
            </w:r>
            <w:r>
              <w:rPr>
                <w:color w:val="000000" w:themeColor="text1"/>
                <w:vertAlign w:val="subscript"/>
              </w:rPr>
              <w:t>6</w:t>
            </w:r>
            <w:r w:rsidRPr="00704833">
              <w:rPr>
                <w:color w:val="000000" w:themeColor="text1"/>
              </w:rPr>
              <w:t xml:space="preserve"> = </w:t>
            </w:r>
            <w:r>
              <w:rPr>
                <w:color w:val="000000" w:themeColor="text1"/>
              </w:rPr>
              <w:t xml:space="preserve">43/43 = </w:t>
            </w:r>
            <w:r w:rsidRPr="00704833">
              <w:rPr>
                <w:color w:val="000000" w:themeColor="text1"/>
              </w:rPr>
              <w:t>1</w:t>
            </w:r>
            <w:r>
              <w:rPr>
                <w:color w:val="000000" w:themeColor="text1"/>
              </w:rPr>
              <w:t>;</w:t>
            </w:r>
          </w:p>
          <w:p w:rsidR="00124172" w:rsidRDefault="00124172" w:rsidP="00124172">
            <w:pPr>
              <w:ind w:firstLine="430"/>
              <w:jc w:val="both"/>
              <w:rPr>
                <w:color w:val="000000" w:themeColor="text1"/>
              </w:rPr>
            </w:pPr>
            <w:r w:rsidRPr="00704833">
              <w:rPr>
                <w:color w:val="000000" w:themeColor="text1"/>
              </w:rPr>
              <w:t xml:space="preserve">За показником </w:t>
            </w:r>
            <w:r w:rsidRPr="00704833">
              <w:t>"</w:t>
            </w:r>
            <w:r>
              <w:t>С</w:t>
            </w:r>
            <w:r w:rsidRPr="005F638A">
              <w:t>альдо послуг</w:t>
            </w:r>
            <w:r w:rsidRPr="00704833">
              <w:rPr>
                <w:color w:val="000000" w:themeColor="text1"/>
              </w:rPr>
              <w:t xml:space="preserve"> за видами" у 2023 році статистична інформація, у якій існує потреба в її користувачів </w:t>
            </w:r>
            <w:r>
              <w:t>(відповідає 4</w:t>
            </w:r>
            <w:r w:rsidR="00B9031C">
              <w:t>3</w:t>
            </w:r>
            <w:r>
              <w:t xml:space="preserve"> коміркам із даними),</w:t>
            </w:r>
            <w:r w:rsidRPr="00704833">
              <w:rPr>
                <w:color w:val="000000" w:themeColor="text1"/>
              </w:rPr>
              <w:t xml:space="preserve"> дорівнює відповідній інформації за показниками та їх розрізами</w:t>
            </w:r>
            <w:r>
              <w:rPr>
                <w:color w:val="000000" w:themeColor="text1"/>
              </w:rPr>
              <w:t>:</w:t>
            </w:r>
          </w:p>
          <w:p w:rsidR="00B9031C" w:rsidRDefault="00B9031C" w:rsidP="00124172">
            <w:pPr>
              <w:ind w:firstLine="430"/>
              <w:jc w:val="both"/>
            </w:pPr>
            <w:r w:rsidRPr="00704833">
              <w:rPr>
                <w:color w:val="000000" w:themeColor="text1"/>
              </w:rPr>
              <w:t>R1</w:t>
            </w:r>
            <w:r w:rsidR="00A26BE7">
              <w:rPr>
                <w:color w:val="000000" w:themeColor="text1"/>
                <w:lang w:val="en-US"/>
              </w:rPr>
              <w:t xml:space="preserve"> </w:t>
            </w:r>
            <w:r w:rsidRPr="00704833">
              <w:rPr>
                <w:color w:val="000000" w:themeColor="text1"/>
              </w:rPr>
              <w:t>(U)</w:t>
            </w:r>
            <w:r>
              <w:rPr>
                <w:color w:val="000000" w:themeColor="text1"/>
                <w:vertAlign w:val="subscript"/>
              </w:rPr>
              <w:t>7</w:t>
            </w:r>
            <w:r w:rsidRPr="00704833">
              <w:rPr>
                <w:color w:val="000000" w:themeColor="text1"/>
              </w:rPr>
              <w:t xml:space="preserve"> = </w:t>
            </w:r>
            <w:r>
              <w:rPr>
                <w:color w:val="000000" w:themeColor="text1"/>
              </w:rPr>
              <w:t xml:space="preserve">43/43 = </w:t>
            </w:r>
            <w:r w:rsidRPr="00704833">
              <w:rPr>
                <w:color w:val="000000" w:themeColor="text1"/>
              </w:rPr>
              <w:t>1</w:t>
            </w:r>
          </w:p>
          <w:p w:rsidR="00CB3CDD" w:rsidRPr="00704833" w:rsidRDefault="00F075E7" w:rsidP="001517C3">
            <w:pPr>
              <w:widowControl w:val="0"/>
              <w:ind w:firstLine="323"/>
              <w:jc w:val="both"/>
              <w:rPr>
                <w:color w:val="FF0000"/>
              </w:rPr>
            </w:pPr>
            <w:r w:rsidRPr="001517C3">
              <w:t xml:space="preserve">Водночас, ураховуючи ситуацію, що склалася у зв’язку з </w:t>
            </w:r>
            <w:r w:rsidRPr="001517C3">
              <w:lastRenderedPageBreak/>
              <w:t xml:space="preserve">військовою агресією </w:t>
            </w:r>
            <w:proofErr w:type="spellStart"/>
            <w:r w:rsidRPr="001517C3">
              <w:t>росії</w:t>
            </w:r>
            <w:proofErr w:type="spellEnd"/>
            <w:r w:rsidRPr="001517C3">
              <w:t xml:space="preserve"> проти України, результати спостереження, починаючи з 2022 року, у повному обсязі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 а також після отримання адміністративних даних.</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rPr>
                <w:color w:val="FF0000"/>
              </w:rPr>
            </w:pPr>
            <w:r w:rsidRPr="00704833">
              <w:lastRenderedPageBreak/>
              <w:t xml:space="preserve">S.12.3.1. </w:t>
            </w:r>
            <w:r w:rsidRPr="00E8604B">
              <w:t>Рівень повноти інформації (R1(Р))</w:t>
            </w:r>
          </w:p>
        </w:tc>
        <w:tc>
          <w:tcPr>
            <w:tcW w:w="8647" w:type="dxa"/>
            <w:shd w:val="clear" w:color="auto" w:fill="auto"/>
          </w:tcPr>
          <w:p w:rsidR="00811FE4" w:rsidRPr="00704833" w:rsidRDefault="00811FE4" w:rsidP="00811FE4">
            <w:pPr>
              <w:spacing w:line="228" w:lineRule="auto"/>
              <w:ind w:firstLine="454"/>
              <w:jc w:val="both"/>
            </w:pPr>
            <w:r w:rsidRPr="00704833">
              <w:t>За цим ДСС, із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rsidR="00811FE4" w:rsidRPr="00704833" w:rsidRDefault="00811FE4" w:rsidP="00811FE4">
            <w:pPr>
              <w:spacing w:line="228" w:lineRule="auto"/>
              <w:ind w:firstLine="454"/>
              <w:jc w:val="both"/>
            </w:pPr>
            <w:r w:rsidRPr="00704833">
              <w:t>Рівень повноти статистичної інформації, що поширюється за результатами цього ДСС за 2023 рік:</w:t>
            </w:r>
          </w:p>
          <w:p w:rsidR="00124172" w:rsidRDefault="00811FE4" w:rsidP="00811FE4">
            <w:pPr>
              <w:ind w:firstLine="459"/>
              <w:jc w:val="both"/>
            </w:pPr>
            <w:r w:rsidRPr="00704833">
              <w:t>R1</w:t>
            </w:r>
            <w:r w:rsidRPr="00704833">
              <w:rPr>
                <w:vertAlign w:val="subscript"/>
              </w:rPr>
              <w:t>1</w:t>
            </w:r>
            <w:r w:rsidR="00A26BE7">
              <w:rPr>
                <w:vertAlign w:val="subscript"/>
                <w:lang w:val="en-US"/>
              </w:rPr>
              <w:t xml:space="preserve"> </w:t>
            </w:r>
            <w:r w:rsidRPr="00704833">
              <w:t xml:space="preserve">(Р) = </w:t>
            </w:r>
            <w:r w:rsidR="00E8604B">
              <w:rPr>
                <w:color w:val="000000" w:themeColor="text1"/>
              </w:rPr>
              <w:t xml:space="preserve">42/42 = </w:t>
            </w:r>
            <w:r w:rsidR="00E8604B" w:rsidRPr="00704833">
              <w:rPr>
                <w:color w:val="000000" w:themeColor="text1"/>
              </w:rPr>
              <w:t>1</w:t>
            </w:r>
            <w:r w:rsidR="00B9031C">
              <w:t>(</w:t>
            </w:r>
            <w:r w:rsidR="00B9031C">
              <w:rPr>
                <w:color w:val="000000" w:themeColor="text1"/>
              </w:rPr>
              <w:t>з</w:t>
            </w:r>
            <w:r w:rsidR="00B9031C" w:rsidRPr="00704833">
              <w:rPr>
                <w:color w:val="000000" w:themeColor="text1"/>
              </w:rPr>
              <w:t xml:space="preserve">а показником </w:t>
            </w:r>
            <w:r w:rsidR="00B9031C" w:rsidRPr="00704833">
              <w:t>"</w:t>
            </w:r>
            <w:r w:rsidR="00B9031C">
              <w:t>Е</w:t>
            </w:r>
            <w:r w:rsidR="00B9031C" w:rsidRPr="005F638A">
              <w:t>кспорт послуг</w:t>
            </w:r>
            <w:r w:rsidR="00B9031C" w:rsidRPr="00704833">
              <w:rPr>
                <w:color w:val="000000" w:themeColor="text1"/>
              </w:rPr>
              <w:t>за видами"</w:t>
            </w:r>
            <w:r w:rsidR="00B9031C">
              <w:rPr>
                <w:color w:val="000000" w:themeColor="text1"/>
              </w:rPr>
              <w:t>)</w:t>
            </w:r>
            <w:r w:rsidR="00E8604B">
              <w:rPr>
                <w:color w:val="000000" w:themeColor="text1"/>
              </w:rPr>
              <w:t>;</w:t>
            </w:r>
          </w:p>
          <w:p w:rsidR="00B9031C" w:rsidRDefault="00B9031C" w:rsidP="00B9031C">
            <w:pPr>
              <w:ind w:firstLine="459"/>
              <w:jc w:val="both"/>
            </w:pPr>
            <w:r w:rsidRPr="00704833">
              <w:t>R1</w:t>
            </w:r>
            <w:r>
              <w:rPr>
                <w:vertAlign w:val="subscript"/>
              </w:rPr>
              <w:t>2</w:t>
            </w:r>
            <w:r w:rsidR="00A26BE7">
              <w:rPr>
                <w:vertAlign w:val="subscript"/>
                <w:lang w:val="en-US"/>
              </w:rPr>
              <w:t xml:space="preserve"> </w:t>
            </w:r>
            <w:r w:rsidRPr="00704833">
              <w:t xml:space="preserve">(Р) = </w:t>
            </w:r>
            <w:r w:rsidR="00E8604B">
              <w:rPr>
                <w:color w:val="000000" w:themeColor="text1"/>
              </w:rPr>
              <w:t xml:space="preserve">42/42 = </w:t>
            </w:r>
            <w:r w:rsidR="00E8604B" w:rsidRPr="00704833">
              <w:rPr>
                <w:color w:val="000000" w:themeColor="text1"/>
              </w:rPr>
              <w:t>1</w:t>
            </w:r>
            <w:r>
              <w:rPr>
                <w:color w:val="000000" w:themeColor="text1"/>
              </w:rPr>
              <w:t>(з</w:t>
            </w:r>
            <w:r w:rsidRPr="00704833">
              <w:rPr>
                <w:color w:val="000000" w:themeColor="text1"/>
              </w:rPr>
              <w:t xml:space="preserve">а показником </w:t>
            </w:r>
            <w:r w:rsidRPr="00704833">
              <w:t>"</w:t>
            </w:r>
            <w:r>
              <w:t>П</w:t>
            </w:r>
            <w:r w:rsidRPr="005F638A">
              <w:t>итома вага експорту послуг</w:t>
            </w:r>
            <w:r w:rsidRPr="00704833">
              <w:rPr>
                <w:color w:val="000000" w:themeColor="text1"/>
              </w:rPr>
              <w:t xml:space="preserve"> за видами"</w:t>
            </w:r>
            <w:r>
              <w:rPr>
                <w:color w:val="000000" w:themeColor="text1"/>
              </w:rPr>
              <w:t>)</w:t>
            </w:r>
            <w:r w:rsidR="00E8604B">
              <w:rPr>
                <w:color w:val="000000" w:themeColor="text1"/>
              </w:rPr>
              <w:t>;</w:t>
            </w:r>
          </w:p>
          <w:p w:rsidR="00B9031C" w:rsidRDefault="00B9031C" w:rsidP="00B9031C">
            <w:pPr>
              <w:ind w:firstLine="459"/>
              <w:jc w:val="both"/>
            </w:pPr>
            <w:r w:rsidRPr="00704833">
              <w:t>R1</w:t>
            </w:r>
            <w:r>
              <w:rPr>
                <w:vertAlign w:val="subscript"/>
              </w:rPr>
              <w:t>3</w:t>
            </w:r>
            <w:r w:rsidR="00A26BE7">
              <w:rPr>
                <w:vertAlign w:val="subscript"/>
                <w:lang w:val="en-US"/>
              </w:rPr>
              <w:t xml:space="preserve"> </w:t>
            </w:r>
            <w:r w:rsidRPr="00704833">
              <w:t xml:space="preserve">(Р) = </w:t>
            </w:r>
            <w:r w:rsidR="00E8604B">
              <w:rPr>
                <w:color w:val="000000" w:themeColor="text1"/>
              </w:rPr>
              <w:t xml:space="preserve">42/42 = </w:t>
            </w:r>
            <w:r w:rsidR="00E8604B" w:rsidRPr="00704833">
              <w:rPr>
                <w:color w:val="000000" w:themeColor="text1"/>
              </w:rPr>
              <w:t>1</w:t>
            </w:r>
            <w:r>
              <w:t>(</w:t>
            </w:r>
            <w:r>
              <w:rPr>
                <w:color w:val="000000" w:themeColor="text1"/>
              </w:rPr>
              <w:t>з</w:t>
            </w:r>
            <w:r w:rsidRPr="00704833">
              <w:rPr>
                <w:color w:val="000000" w:themeColor="text1"/>
              </w:rPr>
              <w:t xml:space="preserve">а показником </w:t>
            </w:r>
            <w:r w:rsidRPr="00704833">
              <w:t>"</w:t>
            </w:r>
            <w:r>
              <w:t>Т</w:t>
            </w:r>
            <w:r w:rsidRPr="005F638A">
              <w:t>емп зростання/зниження експорту послуг до відповідного періоду попереднього року</w:t>
            </w:r>
            <w:r w:rsidRPr="00704833">
              <w:rPr>
                <w:color w:val="000000" w:themeColor="text1"/>
              </w:rPr>
              <w:t xml:space="preserve"> за видами"</w:t>
            </w:r>
            <w:r>
              <w:rPr>
                <w:color w:val="000000" w:themeColor="text1"/>
              </w:rPr>
              <w:t>)</w:t>
            </w:r>
            <w:r w:rsidR="00E8604B">
              <w:rPr>
                <w:color w:val="000000" w:themeColor="text1"/>
              </w:rPr>
              <w:t>;</w:t>
            </w:r>
          </w:p>
          <w:p w:rsidR="00B9031C" w:rsidRDefault="00B9031C" w:rsidP="00B9031C">
            <w:pPr>
              <w:ind w:firstLine="459"/>
              <w:jc w:val="both"/>
            </w:pPr>
            <w:r w:rsidRPr="00704833">
              <w:t>R1</w:t>
            </w:r>
            <w:r>
              <w:rPr>
                <w:vertAlign w:val="subscript"/>
              </w:rPr>
              <w:t>4</w:t>
            </w:r>
            <w:r w:rsidR="00A26BE7">
              <w:rPr>
                <w:vertAlign w:val="subscript"/>
                <w:lang w:val="en-US"/>
              </w:rPr>
              <w:t xml:space="preserve"> </w:t>
            </w:r>
            <w:r w:rsidRPr="00704833">
              <w:t xml:space="preserve">(Р) = </w:t>
            </w:r>
            <w:r w:rsidR="00E8604B">
              <w:rPr>
                <w:color w:val="000000" w:themeColor="text1"/>
              </w:rPr>
              <w:t xml:space="preserve">39/43 = </w:t>
            </w:r>
            <w:r w:rsidRPr="00704833">
              <w:t>0,</w:t>
            </w:r>
            <w:r w:rsidR="00E8604B">
              <w:t>907</w:t>
            </w:r>
            <w:r>
              <w:t xml:space="preserve"> (</w:t>
            </w:r>
            <w:r w:rsidRPr="00704833">
              <w:rPr>
                <w:color w:val="000000" w:themeColor="text1"/>
              </w:rPr>
              <w:t xml:space="preserve">За показником </w:t>
            </w:r>
            <w:r w:rsidRPr="00704833">
              <w:t>"</w:t>
            </w:r>
            <w:r>
              <w:t>Імпорт</w:t>
            </w:r>
            <w:r w:rsidRPr="005F638A">
              <w:t xml:space="preserve"> послуг</w:t>
            </w:r>
            <w:r w:rsidRPr="00704833">
              <w:rPr>
                <w:color w:val="000000" w:themeColor="text1"/>
              </w:rPr>
              <w:t>за видами"</w:t>
            </w:r>
            <w:r>
              <w:rPr>
                <w:color w:val="000000" w:themeColor="text1"/>
              </w:rPr>
              <w:t>)</w:t>
            </w:r>
            <w:r w:rsidR="00E8604B">
              <w:rPr>
                <w:color w:val="000000" w:themeColor="text1"/>
              </w:rPr>
              <w:t>;</w:t>
            </w:r>
          </w:p>
          <w:p w:rsidR="00B9031C" w:rsidRDefault="00B9031C" w:rsidP="00B9031C">
            <w:pPr>
              <w:ind w:firstLine="459"/>
              <w:jc w:val="both"/>
            </w:pPr>
            <w:r w:rsidRPr="00704833">
              <w:t>R1</w:t>
            </w:r>
            <w:r>
              <w:rPr>
                <w:vertAlign w:val="subscript"/>
              </w:rPr>
              <w:t>5</w:t>
            </w:r>
            <w:r w:rsidR="00A26BE7">
              <w:rPr>
                <w:vertAlign w:val="subscript"/>
                <w:lang w:val="en-US"/>
              </w:rPr>
              <w:t xml:space="preserve"> </w:t>
            </w:r>
            <w:r w:rsidRPr="00704833">
              <w:t xml:space="preserve">(Р) = </w:t>
            </w:r>
            <w:r w:rsidR="00E8604B">
              <w:rPr>
                <w:color w:val="000000" w:themeColor="text1"/>
              </w:rPr>
              <w:t xml:space="preserve">39/43 = </w:t>
            </w:r>
            <w:r w:rsidR="00E8604B" w:rsidRPr="00704833">
              <w:t>0,</w:t>
            </w:r>
            <w:r w:rsidR="00E8604B">
              <w:t xml:space="preserve">907 </w:t>
            </w:r>
            <w:r>
              <w:t>(</w:t>
            </w:r>
            <w:r w:rsidRPr="00704833">
              <w:rPr>
                <w:color w:val="000000" w:themeColor="text1"/>
              </w:rPr>
              <w:t xml:space="preserve">За показником </w:t>
            </w:r>
            <w:r w:rsidRPr="00704833">
              <w:t>"</w:t>
            </w:r>
            <w:r>
              <w:t>П</w:t>
            </w:r>
            <w:r w:rsidRPr="005F638A">
              <w:t xml:space="preserve">итома вага </w:t>
            </w:r>
            <w:r>
              <w:t>імпорту</w:t>
            </w:r>
            <w:r w:rsidRPr="005F638A">
              <w:t xml:space="preserve"> послуг</w:t>
            </w:r>
            <w:r w:rsidRPr="00704833">
              <w:rPr>
                <w:color w:val="000000" w:themeColor="text1"/>
              </w:rPr>
              <w:t xml:space="preserve"> за видами"</w:t>
            </w:r>
            <w:r>
              <w:rPr>
                <w:color w:val="000000" w:themeColor="text1"/>
              </w:rPr>
              <w:t>)</w:t>
            </w:r>
            <w:r w:rsidR="00E8604B">
              <w:rPr>
                <w:color w:val="000000" w:themeColor="text1"/>
              </w:rPr>
              <w:t>;</w:t>
            </w:r>
          </w:p>
          <w:p w:rsidR="00B9031C" w:rsidRDefault="00B9031C" w:rsidP="00B9031C">
            <w:pPr>
              <w:ind w:firstLine="459"/>
              <w:jc w:val="both"/>
            </w:pPr>
            <w:r w:rsidRPr="00704833">
              <w:t>R1</w:t>
            </w:r>
            <w:r>
              <w:rPr>
                <w:vertAlign w:val="subscript"/>
              </w:rPr>
              <w:t>6</w:t>
            </w:r>
            <w:r w:rsidR="005C05B9">
              <w:rPr>
                <w:vertAlign w:val="subscript"/>
                <w:lang w:val="en-US"/>
              </w:rPr>
              <w:t xml:space="preserve"> </w:t>
            </w:r>
            <w:r w:rsidRPr="00704833">
              <w:t xml:space="preserve">(Р) = </w:t>
            </w:r>
            <w:r w:rsidR="00E8604B">
              <w:rPr>
                <w:color w:val="000000" w:themeColor="text1"/>
              </w:rPr>
              <w:t xml:space="preserve">39/43 = </w:t>
            </w:r>
            <w:r w:rsidR="00E8604B" w:rsidRPr="00704833">
              <w:t>0,</w:t>
            </w:r>
            <w:r w:rsidR="00E8604B">
              <w:t xml:space="preserve">907 </w:t>
            </w:r>
            <w:r w:rsidR="00E8604B">
              <w:rPr>
                <w:color w:val="000000" w:themeColor="text1"/>
              </w:rPr>
              <w:t>(</w:t>
            </w:r>
            <w:r w:rsidR="00E8604B" w:rsidRPr="00704833">
              <w:rPr>
                <w:color w:val="000000" w:themeColor="text1"/>
              </w:rPr>
              <w:t xml:space="preserve">За показником </w:t>
            </w:r>
            <w:r w:rsidR="00E8604B" w:rsidRPr="00704833">
              <w:t>"</w:t>
            </w:r>
            <w:r w:rsidR="00E8604B">
              <w:t>Т</w:t>
            </w:r>
            <w:r w:rsidR="00E8604B" w:rsidRPr="005F638A">
              <w:t xml:space="preserve">емп зростання/зниження </w:t>
            </w:r>
            <w:r w:rsidR="00E8604B">
              <w:t>імпорту</w:t>
            </w:r>
            <w:r w:rsidR="00E8604B" w:rsidRPr="005F638A">
              <w:t xml:space="preserve"> послуг до відповідного періоду попереднього року</w:t>
            </w:r>
            <w:r w:rsidR="00E8604B" w:rsidRPr="00704833">
              <w:rPr>
                <w:color w:val="000000" w:themeColor="text1"/>
              </w:rPr>
              <w:t xml:space="preserve"> за видами"</w:t>
            </w:r>
            <w:r w:rsidR="00E8604B">
              <w:rPr>
                <w:color w:val="000000" w:themeColor="text1"/>
              </w:rPr>
              <w:t>);</w:t>
            </w:r>
          </w:p>
          <w:p w:rsidR="00CB3CDD" w:rsidRPr="00704833" w:rsidRDefault="00B9031C" w:rsidP="00044D61">
            <w:pPr>
              <w:ind w:firstLine="459"/>
              <w:jc w:val="both"/>
              <w:rPr>
                <w:color w:val="FF0000"/>
              </w:rPr>
            </w:pPr>
            <w:r w:rsidRPr="00704833">
              <w:t>R1</w:t>
            </w:r>
            <w:r w:rsidR="00044D61">
              <w:rPr>
                <w:vertAlign w:val="subscript"/>
              </w:rPr>
              <w:t>7</w:t>
            </w:r>
            <w:r w:rsidR="005C05B9">
              <w:rPr>
                <w:vertAlign w:val="subscript"/>
                <w:lang w:val="en-US"/>
              </w:rPr>
              <w:t xml:space="preserve"> </w:t>
            </w:r>
            <w:r w:rsidRPr="00704833">
              <w:t xml:space="preserve">(Р) = </w:t>
            </w:r>
            <w:r w:rsidR="00E8604B">
              <w:rPr>
                <w:color w:val="000000" w:themeColor="text1"/>
              </w:rPr>
              <w:t xml:space="preserve">39/43 = </w:t>
            </w:r>
            <w:r w:rsidR="00E8604B" w:rsidRPr="00704833">
              <w:t>0,</w:t>
            </w:r>
            <w:r w:rsidR="00E8604B">
              <w:t>907 (</w:t>
            </w:r>
            <w:r w:rsidR="00E8604B" w:rsidRPr="00704833">
              <w:rPr>
                <w:color w:val="000000" w:themeColor="text1"/>
              </w:rPr>
              <w:t xml:space="preserve">За показником </w:t>
            </w:r>
            <w:r w:rsidR="00E8604B" w:rsidRPr="00704833">
              <w:t>"</w:t>
            </w:r>
            <w:r w:rsidR="00E8604B">
              <w:t>С</w:t>
            </w:r>
            <w:r w:rsidR="00E8604B" w:rsidRPr="005F638A">
              <w:t>альдо послуг</w:t>
            </w:r>
            <w:r w:rsidR="00E8604B" w:rsidRPr="00704833">
              <w:rPr>
                <w:color w:val="000000" w:themeColor="text1"/>
              </w:rPr>
              <w:t xml:space="preserve"> за </w:t>
            </w:r>
            <w:r w:rsidR="00E8604B" w:rsidRPr="00704833">
              <w:rPr>
                <w:color w:val="000000" w:themeColor="text1"/>
              </w:rPr>
              <w:lastRenderedPageBreak/>
              <w:t>видами"</w:t>
            </w:r>
            <w:r w:rsidR="00E8604B">
              <w:rPr>
                <w:color w:val="000000" w:themeColor="text1"/>
              </w:rPr>
              <w:t>).</w:t>
            </w:r>
          </w:p>
        </w:tc>
      </w:tr>
      <w:tr w:rsidR="00CB3CDD" w:rsidRPr="00704833" w:rsidTr="006023BA">
        <w:tc>
          <w:tcPr>
            <w:tcW w:w="14459" w:type="dxa"/>
            <w:gridSpan w:val="2"/>
            <w:shd w:val="clear" w:color="auto" w:fill="auto"/>
          </w:tcPr>
          <w:p w:rsidR="00CB3CDD" w:rsidRPr="00704833" w:rsidRDefault="00CB3CDD" w:rsidP="00CB3CDD">
            <w:pPr>
              <w:widowControl w:val="0"/>
              <w:autoSpaceDE w:val="0"/>
              <w:autoSpaceDN w:val="0"/>
              <w:adjustRightInd w:val="0"/>
            </w:pPr>
            <w:r w:rsidRPr="00704833">
              <w:lastRenderedPageBreak/>
              <w:t>S.13.  Точність і надійність</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rPr>
                <w:highlight w:val="lightGray"/>
              </w:rPr>
            </w:pPr>
            <w:r w:rsidRPr="00704833">
              <w:t>S.13.1.  Загальна точність</w:t>
            </w:r>
          </w:p>
        </w:tc>
        <w:tc>
          <w:tcPr>
            <w:tcW w:w="8647" w:type="dxa"/>
            <w:shd w:val="clear" w:color="auto" w:fill="auto"/>
          </w:tcPr>
          <w:p w:rsidR="00CB3CDD" w:rsidRPr="00704833" w:rsidRDefault="0022338E" w:rsidP="00CB3CDD">
            <w:pPr>
              <w:ind w:firstLine="430"/>
              <w:jc w:val="both"/>
            </w:pPr>
            <w:r w:rsidRPr="004B56B3">
              <w:t>Д</w:t>
            </w:r>
            <w:r w:rsidR="00CB3CDD" w:rsidRPr="00704833">
              <w:t>ля проведення ДСС використовується комбінація статистичних методів, а саме проведення несуцільного обстеження безпосередньо одиниць статистичного спостереження шляхом відбору за визначеними критеріями, а також використання адміністративних даних та результатів інших ДСС.</w:t>
            </w:r>
          </w:p>
          <w:p w:rsidR="00CB3CDD" w:rsidRPr="00704833" w:rsidRDefault="00CB3CDD" w:rsidP="00CB3CDD">
            <w:pPr>
              <w:ind w:firstLine="430"/>
              <w:jc w:val="both"/>
            </w:pPr>
            <w:r w:rsidRPr="00704833">
              <w:t>Дані ДСС опрацьовуються із застосуванням методів поєднання даних із різних джерел, аналізу абсолютних, відносних та середніх величин, сумнівних агрегатів та динаміки показників.</w:t>
            </w:r>
          </w:p>
          <w:p w:rsidR="00CB3CDD" w:rsidRPr="00704833" w:rsidRDefault="00CB3CDD" w:rsidP="00CB3CDD">
            <w:pPr>
              <w:ind w:firstLine="430"/>
              <w:jc w:val="both"/>
            </w:pPr>
            <w:r w:rsidRPr="00704833">
              <w:t xml:space="preserve">У випадках відсутності даних від окремих респондентів з'ясовуються причини неотримання інформації. Аналіз причин неподання звітності свідчить, що переважна більшість випадків неотримання інформації від респондентів пов’язана з об’єктивними причинами, наприклад, з відмовою підприємства звітувати, відсутністю підприємства за наявними контактами тощо. Рівень </w:t>
            </w:r>
            <w:proofErr w:type="spellStart"/>
            <w:r w:rsidRPr="00704833">
              <w:t>невідповідей</w:t>
            </w:r>
            <w:proofErr w:type="spellEnd"/>
            <w:r w:rsidR="005C05B9">
              <w:rPr>
                <w:lang w:val="en-US"/>
              </w:rPr>
              <w:t xml:space="preserve"> </w:t>
            </w:r>
            <w:r w:rsidRPr="00704833">
              <w:t xml:space="preserve">становить </w:t>
            </w:r>
            <w:r w:rsidRPr="00586DA3">
              <w:t>до 2</w:t>
            </w:r>
            <w:r w:rsidR="00586DA3" w:rsidRPr="00586DA3">
              <w:t>0</w:t>
            </w:r>
            <w:r w:rsidRPr="00586DA3">
              <w:t>,0%.</w:t>
            </w:r>
          </w:p>
          <w:p w:rsidR="00CB3CDD" w:rsidRDefault="00CB3CDD" w:rsidP="00CB3CDD">
            <w:pPr>
              <w:ind w:firstLine="430"/>
              <w:jc w:val="both"/>
            </w:pPr>
            <w:r w:rsidRPr="00704833">
              <w:t xml:space="preserve">Такий рівень </w:t>
            </w:r>
            <w:proofErr w:type="spellStart"/>
            <w:r w:rsidRPr="00704833">
              <w:t>невідповідей</w:t>
            </w:r>
            <w:proofErr w:type="spellEnd"/>
            <w:r w:rsidRPr="00704833">
              <w:t>, зокрема, обумовлений змінами, що відбуваються упродовж звітного періоду з одиницями ДСС, а саме: щодо стану їх діяльності (припинення діяльності, демографічні зміни тощо), а також враховуючи якість адміністративних даних, що призводить до невідповідності критеріям ДСС одиниць, відібраних для обстеження, в межах звітного періоду.</w:t>
            </w:r>
          </w:p>
          <w:p w:rsidR="00D511E6" w:rsidRPr="00704833" w:rsidRDefault="00D511E6" w:rsidP="00CB3CDD">
            <w:pPr>
              <w:ind w:firstLine="430"/>
              <w:jc w:val="both"/>
            </w:pPr>
            <w:r w:rsidRPr="004B56B3">
              <w:t>При формуванні інформації застосовуються методи контролю якості результатів ДСС: аналіз даних у часі, аналіз розподілу даних у просторі (по регіонах), аналіз взаємозв’язку даних ДСС щодо показників "експорт-імпорт послуг" та "питома вага експорту-імпорту послуг", "експорт-імпорт послуг" та "темп росту експорту-</w:t>
            </w:r>
            <w:r w:rsidRPr="004B56B3">
              <w:lastRenderedPageBreak/>
              <w:t>імпорту послуг", аналіз розподілу даних (за структурою послуг, за країнами та за регіонами), аналіз абсолютних та відносних величин (експорту-імпорту послуг), вивчаються тенденції (зростання–зниження експорту-імпорту послуг за два роки по кварталах).</w:t>
            </w:r>
          </w:p>
          <w:p w:rsidR="00CB3CDD" w:rsidRPr="00704833" w:rsidRDefault="00CB3CDD" w:rsidP="00CB3CDD">
            <w:pPr>
              <w:ind w:firstLine="430"/>
              <w:jc w:val="both"/>
            </w:pPr>
            <w:r w:rsidRPr="00704833">
              <w:t>При проведенні спостереження сезонні коригування не здійснюються.</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pPr>
            <w:r w:rsidRPr="00704833">
              <w:lastRenderedPageBreak/>
              <w:t>S.13.2.  Похибки вибірки (A1 (U))</w:t>
            </w:r>
          </w:p>
        </w:tc>
        <w:tc>
          <w:tcPr>
            <w:tcW w:w="8647" w:type="dxa"/>
            <w:shd w:val="clear" w:color="auto" w:fill="auto"/>
          </w:tcPr>
          <w:p w:rsidR="00CB3CDD" w:rsidRPr="00704833" w:rsidRDefault="00CB3CDD" w:rsidP="00CB3CDD">
            <w:pPr>
              <w:ind w:firstLine="430"/>
              <w:jc w:val="both"/>
            </w:pPr>
            <w:r w:rsidRPr="00704833">
              <w:t xml:space="preserve">Не застосовується. </w:t>
            </w:r>
          </w:p>
          <w:p w:rsidR="00E04B7C" w:rsidRPr="00704833" w:rsidRDefault="00CB3CDD" w:rsidP="00E04B7C">
            <w:pPr>
              <w:ind w:firstLine="430"/>
              <w:jc w:val="both"/>
            </w:pPr>
            <w:r w:rsidRPr="00704833">
              <w:t>Статистичне спостереження п</w:t>
            </w:r>
            <w:r w:rsidR="00E04B7C" w:rsidRPr="00704833">
              <w:t>р</w:t>
            </w:r>
            <w:r w:rsidRPr="00704833">
              <w:t>оводиться методом несуцільного обстеження безпосередньо одиниць статистичного спостереження шляхом відбору за визначеними критеріями</w:t>
            </w:r>
            <w:r w:rsidR="00E04B7C" w:rsidRPr="00704833">
              <w:t>.</w:t>
            </w:r>
          </w:p>
          <w:p w:rsidR="00CB3CDD" w:rsidRPr="00704833" w:rsidRDefault="00CB3CDD" w:rsidP="00E04B7C">
            <w:pPr>
              <w:ind w:firstLine="430"/>
              <w:jc w:val="both"/>
            </w:pPr>
            <w:r w:rsidRPr="00704833">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pPr>
            <w:r w:rsidRPr="00704833">
              <w:t>S.13.2.1.  Похибки вибірки (A1(P))</w:t>
            </w:r>
          </w:p>
        </w:tc>
        <w:tc>
          <w:tcPr>
            <w:tcW w:w="8647" w:type="dxa"/>
            <w:shd w:val="clear" w:color="auto" w:fill="auto"/>
          </w:tcPr>
          <w:p w:rsidR="00CB3CDD" w:rsidRPr="00704833" w:rsidRDefault="00CB3CDD" w:rsidP="00586DA3">
            <w:pPr>
              <w:ind w:firstLine="430"/>
              <w:jc w:val="both"/>
            </w:pPr>
            <w:r w:rsidRPr="00704833">
              <w:t xml:space="preserve">Не застосовується. </w:t>
            </w:r>
            <w:r w:rsidR="00586DA3">
              <w:t>Д</w:t>
            </w:r>
            <w:r w:rsidRPr="00704833">
              <w:t>СС не проводиться з використанням методу стратифікованого випадкового відбору.</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rPr>
                <w:color w:val="FF0000"/>
              </w:rPr>
            </w:pPr>
            <w:r w:rsidRPr="00704833">
              <w:t xml:space="preserve">S.13.3. Похибки, що не стосуються вибірки та A4. </w:t>
            </w:r>
            <w:proofErr w:type="spellStart"/>
            <w:r w:rsidRPr="00704833">
              <w:t>Невідповіді</w:t>
            </w:r>
            <w:proofErr w:type="spellEnd"/>
            <w:r w:rsidRPr="00704833">
              <w:t xml:space="preserve"> одиниць і рівень </w:t>
            </w:r>
            <w:proofErr w:type="spellStart"/>
            <w:r w:rsidRPr="00704833">
              <w:t>невідповідей</w:t>
            </w:r>
            <w:proofErr w:type="spellEnd"/>
            <w:r w:rsidRPr="00704833">
              <w:t xml:space="preserve"> одиниць (A5)</w:t>
            </w:r>
          </w:p>
        </w:tc>
        <w:tc>
          <w:tcPr>
            <w:tcW w:w="8647" w:type="dxa"/>
            <w:shd w:val="clear" w:color="auto" w:fill="auto"/>
          </w:tcPr>
          <w:p w:rsidR="00CB3CDD" w:rsidRPr="00704833" w:rsidRDefault="00CB3CDD" w:rsidP="00CB3CDD">
            <w:pPr>
              <w:ind w:firstLine="430"/>
              <w:jc w:val="both"/>
            </w:pPr>
            <w:r w:rsidRPr="00704833">
              <w:t>В межах ДСС присутні похибки вимірювання, охоплення, обробки тощо.</w:t>
            </w:r>
          </w:p>
          <w:p w:rsidR="00CB3CDD" w:rsidRPr="00704833" w:rsidRDefault="00CB3CDD" w:rsidP="00CB3CDD">
            <w:pPr>
              <w:ind w:firstLine="430"/>
              <w:jc w:val="both"/>
            </w:pPr>
            <w:r w:rsidRPr="00704833">
              <w:t xml:space="preserve">Зокрема, щодо розбіжності між даними ДСС та адміністративною інформацією НБУ: адміністративні дані НБУ про переліки кодів ЄДРПОУ підприємств, що </w:t>
            </w:r>
            <w:r w:rsidR="00450483" w:rsidRPr="00704833">
              <w:t>отримують абоздійснюють платежі за експорт-імпорт послуг</w:t>
            </w:r>
            <w:r w:rsidRPr="00704833">
              <w:t>, не уміщують інформації щодо обсяг</w:t>
            </w:r>
            <w:r w:rsidR="00F52A63" w:rsidRPr="00704833">
              <w:t>ів</w:t>
            </w:r>
            <w:r w:rsidR="006A0B33" w:rsidRPr="00704833">
              <w:t>експорту-імпорту</w:t>
            </w:r>
            <w:r w:rsidR="00F52A63" w:rsidRPr="00704833">
              <w:t xml:space="preserve"> послуг</w:t>
            </w:r>
            <w:r w:rsidRPr="00704833">
              <w:t xml:space="preserve"> з огляду на дотримання вимог щодо конфіденційності даних. В результаті існують розбіжності між даними ДСС та адміністративною інформацією НБУ як щодо обсягів </w:t>
            </w:r>
            <w:r w:rsidR="00F52A63" w:rsidRPr="00704833">
              <w:t xml:space="preserve">експорту-імпорту послуг </w:t>
            </w:r>
            <w:r w:rsidRPr="00704833">
              <w:t xml:space="preserve">так і періоду їх реєстрації. Щоквартально  здійснюється порівняльний аналіз адміністративних даних </w:t>
            </w:r>
            <w:r w:rsidRPr="00704833">
              <w:lastRenderedPageBreak/>
              <w:t xml:space="preserve">Національного банку про переліки кодів ЄДРПОУ, що </w:t>
            </w:r>
            <w:r w:rsidR="00F52A63" w:rsidRPr="00704833">
              <w:t>отримують або здійснюють платежі за експорт-імпорт послуг</w:t>
            </w:r>
            <w:r w:rsidRPr="00704833">
              <w:t xml:space="preserve">, з переліками кодів ЄДРПОУ підприємств, що прозвітували органам державної статистики з метою уникнення дублювання при формуванні НБУ остаточних даних щодо </w:t>
            </w:r>
            <w:r w:rsidR="00F52A63" w:rsidRPr="00704833">
              <w:t>зовнішньої торгівлі послугами</w:t>
            </w:r>
            <w:r w:rsidRPr="00704833">
              <w:t>. Результати такого порівняльного аналізу надаються НБУ щоквартально</w:t>
            </w:r>
            <w:r w:rsidRPr="00704833">
              <w:rPr>
                <w:color w:val="FF0000"/>
              </w:rPr>
              <w:t>.</w:t>
            </w:r>
          </w:p>
          <w:p w:rsidR="002300B2" w:rsidRPr="00704833" w:rsidRDefault="002300B2" w:rsidP="002300B2">
            <w:pPr>
              <w:ind w:firstLine="430"/>
              <w:jc w:val="both"/>
            </w:pPr>
            <w:r w:rsidRPr="00704833">
              <w:t>Рівень неучасті респондентів за результатами 2023 року:</w:t>
            </w:r>
          </w:p>
          <w:p w:rsidR="002300B2" w:rsidRPr="00704833" w:rsidRDefault="002300B2" w:rsidP="002300B2">
            <w:pPr>
              <w:ind w:firstLine="430"/>
              <w:jc w:val="both"/>
            </w:pPr>
            <w:r w:rsidRPr="00704833">
              <w:t>- за формою № 9-ЗЕЗ (квартальна)</w:t>
            </w:r>
            <w:r w:rsidR="007D39A7">
              <w:rPr>
                <w:lang w:val="en-US"/>
              </w:rPr>
              <w:t xml:space="preserve"> </w:t>
            </w:r>
            <w:r w:rsidR="00044D61">
              <w:t>– 28,7%;</w:t>
            </w:r>
          </w:p>
          <w:p w:rsidR="002300B2" w:rsidRPr="00704833" w:rsidRDefault="002300B2" w:rsidP="002300B2">
            <w:pPr>
              <w:ind w:firstLine="430"/>
              <w:jc w:val="both"/>
            </w:pPr>
            <w:r w:rsidRPr="00704833">
              <w:t>- за формою № 1-ЗЕЗ (буд) (річна) – 13,6% від загальної кількості одиниць сукупності, що вивчалась.</w:t>
            </w:r>
          </w:p>
          <w:p w:rsidR="002300B2" w:rsidRPr="00704833" w:rsidRDefault="002300B2" w:rsidP="002300B2">
            <w:pPr>
              <w:ind w:firstLine="430"/>
              <w:jc w:val="both"/>
            </w:pPr>
            <w:r w:rsidRPr="00704833">
              <w:t>Такий високий рівень неучасті респондентів, пояснюється тим, що респонденти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2300B2" w:rsidRPr="00704833" w:rsidRDefault="002300B2" w:rsidP="002300B2">
            <w:pPr>
              <w:ind w:firstLine="430"/>
              <w:jc w:val="both"/>
            </w:pPr>
            <w:r w:rsidRPr="00704833">
              <w:t xml:space="preserve">Серед основних причин </w:t>
            </w:r>
            <w:proofErr w:type="spellStart"/>
            <w:r w:rsidRPr="004B56B3">
              <w:t>невідповідей</w:t>
            </w:r>
            <w:proofErr w:type="spellEnd"/>
            <w:r w:rsidRPr="00704833">
              <w:t xml:space="preserve"> найпоширенішою є неможливість звітування з причини виникнення надзвичайних та непереборних обставин.</w:t>
            </w:r>
          </w:p>
          <w:p w:rsidR="002300B2" w:rsidRPr="00704833" w:rsidRDefault="002300B2" w:rsidP="002300B2">
            <w:pPr>
              <w:ind w:firstLine="430"/>
              <w:jc w:val="both"/>
            </w:pPr>
            <w:r w:rsidRPr="00704833">
              <w:t>Для порівняння було зафіксовано такий рівень неучасті респондентів за результатами 2021 року:</w:t>
            </w:r>
          </w:p>
          <w:p w:rsidR="002300B2" w:rsidRPr="00704833" w:rsidRDefault="002300B2" w:rsidP="002300B2">
            <w:pPr>
              <w:pStyle w:val="a4"/>
              <w:ind w:left="-137" w:firstLine="567"/>
              <w:jc w:val="both"/>
            </w:pPr>
            <w:r w:rsidRPr="00704833">
              <w:t>- за формою № 9</w:t>
            </w:r>
            <w:r w:rsidR="006B1032">
              <w:t>-</w:t>
            </w:r>
            <w:r w:rsidRPr="00704833">
              <w:t>ЗЕЗ (квартальна) – 10,1%</w:t>
            </w:r>
            <w:r w:rsidR="00044D61">
              <w:t>;</w:t>
            </w:r>
          </w:p>
          <w:p w:rsidR="002300B2" w:rsidRPr="00704833" w:rsidRDefault="002300B2" w:rsidP="002300B2">
            <w:pPr>
              <w:ind w:left="430"/>
              <w:jc w:val="both"/>
            </w:pPr>
            <w:r w:rsidRPr="00704833">
              <w:t xml:space="preserve">- за формою № 1-ЗЕЗ (буд) (річна) – 43,5% </w:t>
            </w:r>
            <w:r w:rsidR="00044D61">
              <w:t>.</w:t>
            </w:r>
          </w:p>
          <w:p w:rsidR="00CB3CDD" w:rsidRPr="00704833" w:rsidRDefault="002300B2" w:rsidP="002300B2">
            <w:pPr>
              <w:ind w:left="5" w:firstLine="425"/>
              <w:jc w:val="both"/>
              <w:rPr>
                <w:color w:val="FF0000"/>
              </w:rPr>
            </w:pPr>
            <w:r w:rsidRPr="00704833">
              <w:t xml:space="preserve">Для зменшення рівня </w:t>
            </w:r>
            <w:proofErr w:type="spellStart"/>
            <w:r w:rsidRPr="00704833">
              <w:t>невідповідей</w:t>
            </w:r>
            <w:proofErr w:type="spellEnd"/>
            <w:r w:rsidRPr="00704833">
              <w:t xml:space="preserve"> застосовується контроль рівня подання звітів респондентами, аналізуються причини їх неподання</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rPr>
                <w:color w:val="FF0000"/>
              </w:rPr>
            </w:pPr>
            <w:r w:rsidRPr="00704833">
              <w:lastRenderedPageBreak/>
              <w:t>S.13.3.1.  Похибки охоплення</w:t>
            </w:r>
          </w:p>
        </w:tc>
        <w:tc>
          <w:tcPr>
            <w:tcW w:w="8647" w:type="dxa"/>
            <w:shd w:val="clear" w:color="auto" w:fill="auto"/>
          </w:tcPr>
          <w:p w:rsidR="00897ADC" w:rsidRPr="00704833" w:rsidRDefault="00897ADC" w:rsidP="00897ADC">
            <w:pPr>
              <w:ind w:firstLine="458"/>
              <w:jc w:val="both"/>
            </w:pPr>
            <w:r w:rsidRPr="00704833">
              <w:t xml:space="preserve">Для отримання інформації безпосередньо від респондента в грудні попереднього до звітного року на державному рівні відбувається формування генеральної сукупності та сукупності одиниць статистичного спостереження, що вивчається окремо для </w:t>
            </w:r>
            <w:r w:rsidRPr="00704833">
              <w:lastRenderedPageBreak/>
              <w:t>форм№ 9-ЗЕЗ (квартальна) та № 1-ЗЕЗ (буд) (річна).</w:t>
            </w:r>
          </w:p>
          <w:p w:rsidR="00897ADC" w:rsidRPr="00704833" w:rsidRDefault="00897ADC" w:rsidP="00897ADC">
            <w:pPr>
              <w:ind w:firstLine="458"/>
              <w:jc w:val="both"/>
            </w:pPr>
            <w:r w:rsidRPr="00704833">
              <w:t>Різниця між одиницями генеральної сукупності та сукупності, що вивчається, у 2023 році становила:</w:t>
            </w:r>
          </w:p>
          <w:p w:rsidR="00897ADC" w:rsidRPr="00704833" w:rsidRDefault="00897ADC" w:rsidP="00897ADC">
            <w:pPr>
              <w:ind w:firstLine="458"/>
              <w:jc w:val="both"/>
            </w:pPr>
            <w:r w:rsidRPr="00704833">
              <w:t>для форми № 9-ЗЕЗ (квартальна) – 43945 (67634 – 23689) одиниць;</w:t>
            </w:r>
          </w:p>
          <w:p w:rsidR="00897ADC" w:rsidRPr="00704833" w:rsidRDefault="00897ADC" w:rsidP="00897ADC">
            <w:pPr>
              <w:ind w:firstLine="458"/>
              <w:jc w:val="both"/>
            </w:pPr>
            <w:r w:rsidRPr="00704833">
              <w:t>для форми № 1-ЗЕЗ (буд) (річна) – 1648</w:t>
            </w:r>
            <w:r w:rsidR="007D39A7">
              <w:rPr>
                <w:lang w:val="en-US"/>
              </w:rPr>
              <w:t xml:space="preserve"> </w:t>
            </w:r>
            <w:r w:rsidRPr="00704833">
              <w:t>(2029– 381) одиниць.</w:t>
            </w:r>
          </w:p>
          <w:p w:rsidR="00897ADC" w:rsidRPr="00704833" w:rsidRDefault="00897ADC" w:rsidP="00897ADC">
            <w:pPr>
              <w:ind w:firstLine="458"/>
              <w:jc w:val="both"/>
            </w:pPr>
          </w:p>
          <w:p w:rsidR="00897ADC" w:rsidRPr="00704833" w:rsidRDefault="00897ADC" w:rsidP="00897ADC">
            <w:pPr>
              <w:ind w:firstLine="458"/>
              <w:jc w:val="both"/>
            </w:pPr>
            <w:r w:rsidRPr="00704833">
              <w:t>Для порівняння різниця між одиницями генеральної сукупності та сукупності, що вивчається у 2021 році була:</w:t>
            </w:r>
          </w:p>
          <w:p w:rsidR="00897ADC" w:rsidRPr="00704833" w:rsidRDefault="00897ADC" w:rsidP="00897ADC">
            <w:pPr>
              <w:ind w:firstLine="458"/>
              <w:jc w:val="both"/>
            </w:pPr>
            <w:r w:rsidRPr="00704833">
              <w:t>для форми № 9-ЗЕЗ (квартальна) – 56601 (72967</w:t>
            </w:r>
            <w:r w:rsidR="007D39A7">
              <w:rPr>
                <w:lang w:val="en-US"/>
              </w:rPr>
              <w:t xml:space="preserve"> </w:t>
            </w:r>
            <w:r w:rsidRPr="00704833">
              <w:t>–</w:t>
            </w:r>
            <w:r w:rsidR="007D39A7">
              <w:rPr>
                <w:lang w:val="en-US"/>
              </w:rPr>
              <w:t xml:space="preserve"> </w:t>
            </w:r>
            <w:r w:rsidRPr="00704833">
              <w:t>16366) одиниць;</w:t>
            </w:r>
          </w:p>
          <w:p w:rsidR="00897ADC" w:rsidRPr="00704833" w:rsidRDefault="007D39A7" w:rsidP="00897ADC">
            <w:pPr>
              <w:ind w:firstLine="458"/>
              <w:jc w:val="both"/>
            </w:pPr>
            <w:r>
              <w:t>для форми № 1-ЗЕЗ(буд) (річна)</w:t>
            </w:r>
            <w:r w:rsidR="00897ADC" w:rsidRPr="00704833">
              <w:t xml:space="preserve"> – 2072 (2396 –</w:t>
            </w:r>
            <w:r>
              <w:rPr>
                <w:lang w:val="en-US"/>
              </w:rPr>
              <w:t xml:space="preserve"> </w:t>
            </w:r>
            <w:r w:rsidR="00897ADC" w:rsidRPr="00704833">
              <w:t>324)</w:t>
            </w:r>
            <w:r>
              <w:rPr>
                <w:lang w:val="en-US"/>
              </w:rPr>
              <w:t xml:space="preserve"> </w:t>
            </w:r>
            <w:r w:rsidR="00897ADC" w:rsidRPr="00704833">
              <w:t>одиниць</w:t>
            </w:r>
            <w:r w:rsidR="00044D61">
              <w:t>.</w:t>
            </w:r>
          </w:p>
          <w:p w:rsidR="00897ADC" w:rsidRPr="00704833" w:rsidRDefault="00897ADC" w:rsidP="00897ADC">
            <w:pPr>
              <w:ind w:firstLine="458"/>
              <w:jc w:val="both"/>
            </w:pPr>
          </w:p>
          <w:p w:rsidR="00CB3CDD" w:rsidRPr="00586DA3" w:rsidRDefault="00CB3CDD" w:rsidP="00CB3CDD">
            <w:pPr>
              <w:ind w:firstLine="459"/>
              <w:jc w:val="both"/>
            </w:pPr>
            <w:r w:rsidRPr="00586DA3">
              <w:t xml:space="preserve">З метою уникнення надмірного охоплення або </w:t>
            </w:r>
            <w:proofErr w:type="spellStart"/>
            <w:r w:rsidRPr="00586DA3">
              <w:t>недоохоплення</w:t>
            </w:r>
            <w:proofErr w:type="spellEnd"/>
            <w:r w:rsidRPr="00586DA3">
              <w:t xml:space="preserve"> для формування сукупності одиниць, яка безпосередньо вивчається при проведенні ДСС, відповідно до методології ДСС використовується наявна інформація Реєстру статистичних одиниць (РСО) у частині Статистичного реєстру підприємств (СРП) щодо:</w:t>
            </w:r>
          </w:p>
          <w:p w:rsidR="00CB3CDD" w:rsidRPr="00586DA3" w:rsidRDefault="00CB3CDD" w:rsidP="00CB3CDD">
            <w:pPr>
              <w:ind w:firstLine="458"/>
              <w:jc w:val="both"/>
            </w:pPr>
            <w:r w:rsidRPr="00586DA3">
              <w:t>для форми № </w:t>
            </w:r>
            <w:r w:rsidR="00B1717D" w:rsidRPr="00586DA3">
              <w:t>9-</w:t>
            </w:r>
            <w:r w:rsidR="00194F13" w:rsidRPr="00586DA3">
              <w:t>ЗЕЗ</w:t>
            </w:r>
            <w:r w:rsidRPr="00586DA3">
              <w:t>(квартальна):</w:t>
            </w:r>
          </w:p>
          <w:p w:rsidR="00CB3CDD" w:rsidRPr="00586DA3" w:rsidRDefault="00CB3CDD" w:rsidP="00CB3CDD">
            <w:pPr>
              <w:ind w:firstLine="458"/>
              <w:jc w:val="both"/>
            </w:pPr>
            <w:r w:rsidRPr="00586DA3">
              <w:t>1) ознаки здійснення зовнішньоекономічної діяльності та  наявності іноземних інвестицій;</w:t>
            </w:r>
          </w:p>
          <w:p w:rsidR="00CB3CDD" w:rsidRPr="00586DA3" w:rsidRDefault="00CB3CDD" w:rsidP="00CB3CDD">
            <w:pPr>
              <w:tabs>
                <w:tab w:val="left" w:pos="851"/>
              </w:tabs>
              <w:ind w:firstLine="567"/>
              <w:jc w:val="both"/>
            </w:pPr>
            <w:r w:rsidRPr="00586DA3">
              <w:t>2) </w:t>
            </w:r>
            <w:r w:rsidR="00713697" w:rsidRPr="004B56B3">
              <w:t>наявності ліцензій</w:t>
            </w:r>
            <w:r w:rsidRPr="004B56B3">
              <w:t xml:space="preserve"> та дозвол</w:t>
            </w:r>
            <w:r w:rsidR="00713697" w:rsidRPr="004B56B3">
              <w:t>ів</w:t>
            </w:r>
            <w:r w:rsidRPr="00586DA3">
              <w:t>на ведення будівельної діяльності;</w:t>
            </w:r>
          </w:p>
          <w:p w:rsidR="00CB3CDD" w:rsidRPr="00586DA3" w:rsidRDefault="00CB3CDD" w:rsidP="00CB3CDD">
            <w:pPr>
              <w:tabs>
                <w:tab w:val="left" w:pos="851"/>
              </w:tabs>
              <w:ind w:firstLine="567"/>
              <w:jc w:val="both"/>
            </w:pPr>
            <w:r w:rsidRPr="00586DA3">
              <w:t>3) представництваіноземних юридичних осіб в Україні.</w:t>
            </w:r>
          </w:p>
          <w:p w:rsidR="00CB3CDD" w:rsidRPr="00704833" w:rsidRDefault="00586DA3" w:rsidP="00CB3CDD">
            <w:pPr>
              <w:ind w:firstLine="458"/>
              <w:jc w:val="both"/>
              <w:rPr>
                <w:color w:val="FF0000"/>
              </w:rPr>
            </w:pPr>
            <w:r>
              <w:t xml:space="preserve">А також </w:t>
            </w:r>
            <w:r w:rsidR="00CB3CDD" w:rsidRPr="00586DA3">
              <w:t xml:space="preserve">переліки підприємств, які надали дані за формою </w:t>
            </w:r>
            <w:r w:rsidR="007D39A7">
              <w:rPr>
                <w:lang w:val="en-US"/>
              </w:rPr>
              <w:t xml:space="preserve">                     </w:t>
            </w:r>
            <w:r w:rsidR="00CB3CDD" w:rsidRPr="00586DA3">
              <w:t>№ </w:t>
            </w:r>
            <w:r w:rsidR="00B1717D" w:rsidRPr="00586DA3">
              <w:t>9-</w:t>
            </w:r>
            <w:r w:rsidR="00194F13" w:rsidRPr="00586DA3">
              <w:t>ЗЕЗ</w:t>
            </w:r>
            <w:r>
              <w:t xml:space="preserve"> (квартальна).</w:t>
            </w:r>
          </w:p>
        </w:tc>
      </w:tr>
      <w:tr w:rsidR="002300B2" w:rsidRPr="00704833" w:rsidTr="006023BA">
        <w:tc>
          <w:tcPr>
            <w:tcW w:w="5812" w:type="dxa"/>
            <w:shd w:val="clear" w:color="auto" w:fill="auto"/>
          </w:tcPr>
          <w:p w:rsidR="002300B2" w:rsidRPr="00704833" w:rsidRDefault="002300B2" w:rsidP="002300B2">
            <w:pPr>
              <w:widowControl w:val="0"/>
              <w:autoSpaceDE w:val="0"/>
              <w:autoSpaceDN w:val="0"/>
              <w:adjustRightInd w:val="0"/>
              <w:rPr>
                <w:color w:val="FF0000"/>
              </w:rPr>
            </w:pPr>
            <w:r w:rsidRPr="00704833">
              <w:lastRenderedPageBreak/>
              <w:t>S.13.3.1.1. Рівень надмірного охоплення (A2)</w:t>
            </w:r>
          </w:p>
        </w:tc>
        <w:tc>
          <w:tcPr>
            <w:tcW w:w="8647" w:type="dxa"/>
            <w:shd w:val="clear" w:color="auto" w:fill="auto"/>
          </w:tcPr>
          <w:p w:rsidR="002300B2" w:rsidRPr="00704833" w:rsidRDefault="002300B2" w:rsidP="002300B2">
            <w:pPr>
              <w:ind w:firstLine="430"/>
              <w:jc w:val="both"/>
            </w:pPr>
            <w:r w:rsidRPr="00704833">
              <w:t xml:space="preserve">Рівень надмірного охоплення для респондентів, як відношення кількості одиниць, які не знайдені за наявними контактами, у яких </w:t>
            </w:r>
            <w:r w:rsidRPr="00704833">
              <w:lastRenderedPageBreak/>
              <w:t>відсутнє явище, що спостерігається, та які припинені або знаходяться в стадії припинення, до сукупності одиниць, що вивчається, склав у 2023 році:</w:t>
            </w:r>
          </w:p>
          <w:p w:rsidR="002300B2" w:rsidRPr="00704833" w:rsidRDefault="002300B2" w:rsidP="002300B2">
            <w:pPr>
              <w:ind w:firstLine="458"/>
              <w:jc w:val="both"/>
            </w:pPr>
            <w:r w:rsidRPr="00704833">
              <w:t>для форми № 9-ЗЕЗ</w:t>
            </w:r>
            <w:r w:rsidR="007D39A7">
              <w:rPr>
                <w:lang w:val="en-US"/>
              </w:rPr>
              <w:t xml:space="preserve"> </w:t>
            </w:r>
            <w:r w:rsidRPr="00704833">
              <w:t>(квартальна): A2</w:t>
            </w:r>
            <w:r w:rsidRPr="00704833">
              <w:rPr>
                <w:vertAlign w:val="subscript"/>
              </w:rPr>
              <w:t xml:space="preserve">1 </w:t>
            </w:r>
            <w:r w:rsidRPr="00704833">
              <w:t>= 1048/23689×100% =4,4%;</w:t>
            </w:r>
          </w:p>
          <w:p w:rsidR="002300B2" w:rsidRPr="00704833" w:rsidRDefault="002300B2" w:rsidP="002300B2">
            <w:pPr>
              <w:ind w:firstLine="458"/>
              <w:jc w:val="both"/>
            </w:pPr>
            <w:r w:rsidRPr="00704833">
              <w:t>для форми № 1-ЗЕЗ</w:t>
            </w:r>
            <w:r w:rsidR="007D39A7">
              <w:rPr>
                <w:lang w:val="en-US"/>
              </w:rPr>
              <w:t xml:space="preserve"> </w:t>
            </w:r>
            <w:r w:rsidRPr="00704833">
              <w:t>(буд) (річна): A2</w:t>
            </w:r>
            <w:r w:rsidRPr="00704833">
              <w:rPr>
                <w:vertAlign w:val="subscript"/>
              </w:rPr>
              <w:t>2</w:t>
            </w:r>
            <w:r w:rsidRPr="00704833">
              <w:t xml:space="preserve"> = 5/381×100% = 1,3%</w:t>
            </w:r>
            <w:r w:rsidR="00044D61">
              <w:t>.</w:t>
            </w:r>
          </w:p>
          <w:p w:rsidR="002300B2" w:rsidRPr="00704833" w:rsidRDefault="002300B2" w:rsidP="002300B2">
            <w:pPr>
              <w:ind w:firstLine="458"/>
              <w:jc w:val="both"/>
            </w:pPr>
          </w:p>
          <w:p w:rsidR="002300B2" w:rsidRPr="00704833" w:rsidRDefault="002300B2" w:rsidP="002300B2">
            <w:pPr>
              <w:ind w:firstLine="458"/>
              <w:jc w:val="both"/>
            </w:pPr>
            <w:r w:rsidRPr="00704833">
              <w:t>Для порівняння цей показник за результатами 2021 року склав:</w:t>
            </w:r>
          </w:p>
          <w:p w:rsidR="002300B2" w:rsidRPr="00704833" w:rsidRDefault="002300B2" w:rsidP="002300B2">
            <w:pPr>
              <w:ind w:firstLine="458"/>
              <w:jc w:val="both"/>
            </w:pPr>
            <w:r w:rsidRPr="00704833">
              <w:t>для форми № 9-ЗЕЗ</w:t>
            </w:r>
            <w:r w:rsidR="007D39A7">
              <w:rPr>
                <w:lang w:val="en-US"/>
              </w:rPr>
              <w:t xml:space="preserve"> </w:t>
            </w:r>
            <w:r w:rsidRPr="00704833">
              <w:t>(квартальна): A2</w:t>
            </w:r>
            <w:r w:rsidRPr="00704833">
              <w:rPr>
                <w:vertAlign w:val="subscript"/>
              </w:rPr>
              <w:t>1</w:t>
            </w:r>
            <w:r w:rsidRPr="00704833">
              <w:t>= 690/16366×100% = 4,2%;</w:t>
            </w:r>
          </w:p>
          <w:p w:rsidR="002300B2" w:rsidRPr="00704833" w:rsidRDefault="002300B2" w:rsidP="002300B2">
            <w:pPr>
              <w:ind w:firstLine="458"/>
              <w:jc w:val="both"/>
              <w:rPr>
                <w:color w:val="FF0000"/>
              </w:rPr>
            </w:pPr>
            <w:r w:rsidRPr="00704833">
              <w:t>для форми № 1-ЗЕЗ</w:t>
            </w:r>
            <w:r w:rsidR="007D39A7">
              <w:rPr>
                <w:lang w:val="en-US"/>
              </w:rPr>
              <w:t xml:space="preserve"> </w:t>
            </w:r>
            <w:r w:rsidRPr="00704833">
              <w:t>(буд) (річна): A2</w:t>
            </w:r>
            <w:r w:rsidRPr="00704833">
              <w:rPr>
                <w:vertAlign w:val="subscript"/>
              </w:rPr>
              <w:t>2</w:t>
            </w:r>
            <w:r w:rsidRPr="00704833">
              <w:t xml:space="preserve"> = 13/324×100% = 4,0%.</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rPr>
                <w:highlight w:val="yellow"/>
              </w:rPr>
            </w:pPr>
            <w:r w:rsidRPr="00704833">
              <w:lastRenderedPageBreak/>
              <w:t xml:space="preserve">S.13.3.1.2.  Частка спільних одиниць (A3) </w:t>
            </w:r>
          </w:p>
        </w:tc>
        <w:tc>
          <w:tcPr>
            <w:tcW w:w="8647" w:type="dxa"/>
            <w:shd w:val="clear" w:color="auto" w:fill="auto"/>
          </w:tcPr>
          <w:p w:rsidR="00CB3CDD" w:rsidRPr="00704833" w:rsidRDefault="00CB3CDD" w:rsidP="00CB3CDD">
            <w:pPr>
              <w:pStyle w:val="a5"/>
              <w:ind w:firstLine="458"/>
              <w:jc w:val="both"/>
              <w:rPr>
                <w:sz w:val="28"/>
                <w:szCs w:val="28"/>
              </w:rPr>
            </w:pPr>
            <w:r w:rsidRPr="00704833">
              <w:rPr>
                <w:sz w:val="28"/>
                <w:szCs w:val="28"/>
              </w:rPr>
              <w:t xml:space="preserve">Показник характеризує повноту охоплення джерел, тобто наскільки одиниці існують у двох різних джерелах й узгоджуються їх дані. </w:t>
            </w:r>
          </w:p>
          <w:p w:rsidR="002300B2" w:rsidRPr="00095E89" w:rsidRDefault="002300B2" w:rsidP="002300B2">
            <w:pPr>
              <w:pStyle w:val="a5"/>
              <w:ind w:firstLine="458"/>
              <w:jc w:val="both"/>
              <w:rPr>
                <w:sz w:val="28"/>
                <w:szCs w:val="28"/>
              </w:rPr>
            </w:pPr>
            <w:r w:rsidRPr="00095E89">
              <w:rPr>
                <w:sz w:val="28"/>
                <w:szCs w:val="28"/>
              </w:rPr>
              <w:t>За результатами 2023 року за цим ДСС загальна кількість респондентів, що подали звіти до органів державної статистики</w:t>
            </w:r>
            <w:r w:rsidR="00BF7C23" w:rsidRPr="00095E89">
              <w:rPr>
                <w:sz w:val="28"/>
                <w:szCs w:val="28"/>
              </w:rPr>
              <w:t xml:space="preserve"> (ОДС)</w:t>
            </w:r>
            <w:r w:rsidRPr="00095E89">
              <w:rPr>
                <w:sz w:val="28"/>
                <w:szCs w:val="28"/>
              </w:rPr>
              <w:t>, для форми № 9-ЗЕЗ (квартальна) становить одиниць 16886, для форми № 1-ЗЕЗ (буд) (річна) – 329.</w:t>
            </w:r>
          </w:p>
          <w:p w:rsidR="002300B2" w:rsidRPr="00095E89" w:rsidRDefault="002300B2" w:rsidP="002300B2">
            <w:pPr>
              <w:pStyle w:val="a5"/>
              <w:ind w:firstLine="458"/>
              <w:jc w:val="both"/>
              <w:rPr>
                <w:sz w:val="28"/>
                <w:szCs w:val="28"/>
              </w:rPr>
            </w:pPr>
            <w:r w:rsidRPr="00095E89">
              <w:rPr>
                <w:sz w:val="28"/>
                <w:szCs w:val="28"/>
              </w:rPr>
              <w:t xml:space="preserve">1) 8628 підприємствз 16886, які прозвітували до </w:t>
            </w:r>
            <w:r w:rsidR="00BF7C23" w:rsidRPr="00095E89">
              <w:rPr>
                <w:sz w:val="28"/>
                <w:szCs w:val="28"/>
              </w:rPr>
              <w:t>ОДС</w:t>
            </w:r>
            <w:r w:rsidRPr="00095E89">
              <w:rPr>
                <w:sz w:val="28"/>
                <w:szCs w:val="28"/>
              </w:rPr>
              <w:t xml:space="preserve"> за формою № 9-ЗЕЗ (квартальна), були також включені до інформації щодо переліку кодів ЄДРПОУ підприємств, що отримують </w:t>
            </w:r>
            <w:r w:rsidRPr="00095E89">
              <w:rPr>
                <w:sz w:val="28"/>
              </w:rPr>
              <w:t>або здійснюють платежі за експорт-імпорт послуг</w:t>
            </w:r>
            <w:r w:rsidRPr="00095E89">
              <w:rPr>
                <w:sz w:val="28"/>
                <w:szCs w:val="28"/>
              </w:rPr>
              <w:t xml:space="preserve">, за інформацією НБУ: </w:t>
            </w:r>
          </w:p>
          <w:p w:rsidR="002300B2" w:rsidRPr="00095E89" w:rsidRDefault="002300B2" w:rsidP="002300B2">
            <w:pPr>
              <w:pStyle w:val="a5"/>
              <w:ind w:firstLine="458"/>
              <w:jc w:val="both"/>
              <w:rPr>
                <w:sz w:val="28"/>
                <w:szCs w:val="28"/>
              </w:rPr>
            </w:pPr>
            <w:r w:rsidRPr="00095E89">
              <w:rPr>
                <w:sz w:val="28"/>
                <w:szCs w:val="28"/>
              </w:rPr>
              <w:t>частка спільних одиниць A3</w:t>
            </w:r>
            <w:r w:rsidRPr="00095E89">
              <w:rPr>
                <w:sz w:val="28"/>
                <w:szCs w:val="28"/>
                <w:vertAlign w:val="subscript"/>
              </w:rPr>
              <w:t>1</w:t>
            </w:r>
            <w:r w:rsidRPr="00095E89">
              <w:rPr>
                <w:sz w:val="28"/>
                <w:szCs w:val="28"/>
              </w:rPr>
              <w:t xml:space="preserve"> =</w:t>
            </w:r>
            <w:r w:rsidR="007D39A7">
              <w:rPr>
                <w:sz w:val="28"/>
                <w:szCs w:val="28"/>
                <w:lang w:val="en-US"/>
              </w:rPr>
              <w:t xml:space="preserve"> </w:t>
            </w:r>
            <w:r w:rsidRPr="00095E89">
              <w:rPr>
                <w:sz w:val="28"/>
                <w:szCs w:val="28"/>
              </w:rPr>
              <w:t>8628/16886 = 0,51095 або 51,1%;</w:t>
            </w:r>
          </w:p>
          <w:p w:rsidR="002300B2" w:rsidRPr="00095E89" w:rsidRDefault="002300B2" w:rsidP="002300B2">
            <w:pPr>
              <w:pStyle w:val="a5"/>
              <w:ind w:firstLine="458"/>
              <w:jc w:val="both"/>
              <w:rPr>
                <w:color w:val="FF0000"/>
                <w:sz w:val="28"/>
                <w:szCs w:val="28"/>
              </w:rPr>
            </w:pPr>
          </w:p>
          <w:p w:rsidR="002300B2" w:rsidRPr="00095E89" w:rsidRDefault="002300B2" w:rsidP="002300B2">
            <w:pPr>
              <w:pStyle w:val="a5"/>
              <w:ind w:firstLine="458"/>
              <w:jc w:val="both"/>
              <w:rPr>
                <w:sz w:val="28"/>
                <w:szCs w:val="28"/>
              </w:rPr>
            </w:pPr>
            <w:r w:rsidRPr="00095E89">
              <w:rPr>
                <w:sz w:val="28"/>
                <w:szCs w:val="28"/>
              </w:rPr>
              <w:t xml:space="preserve">2) 143 підприємства з 329, які прозвітували до </w:t>
            </w:r>
            <w:r w:rsidR="00BF7C23" w:rsidRPr="00095E89">
              <w:rPr>
                <w:sz w:val="28"/>
                <w:szCs w:val="28"/>
              </w:rPr>
              <w:t>ОДС</w:t>
            </w:r>
            <w:r w:rsidRPr="00095E89">
              <w:rPr>
                <w:sz w:val="28"/>
                <w:szCs w:val="28"/>
              </w:rPr>
              <w:t xml:space="preserve"> за формою № 1-ЗЕЗ (буд) (річна), було також включено до інформації щодо переліку кодів ЄДРПОУ підприємств, що </w:t>
            </w:r>
            <w:r w:rsidRPr="00095E89">
              <w:rPr>
                <w:sz w:val="28"/>
              </w:rPr>
              <w:t>отримують або здійснюють платежі за експорт-імпорт послуг</w:t>
            </w:r>
            <w:r w:rsidRPr="00095E89">
              <w:rPr>
                <w:sz w:val="28"/>
                <w:szCs w:val="28"/>
              </w:rPr>
              <w:t xml:space="preserve">, за інформацією НБУ: </w:t>
            </w:r>
          </w:p>
          <w:p w:rsidR="00FD51A5" w:rsidRPr="00704833" w:rsidRDefault="002300B2" w:rsidP="00095E89">
            <w:pPr>
              <w:pStyle w:val="a5"/>
              <w:ind w:firstLine="458"/>
              <w:jc w:val="both"/>
              <w:rPr>
                <w:sz w:val="28"/>
                <w:szCs w:val="28"/>
              </w:rPr>
            </w:pPr>
            <w:r w:rsidRPr="00095E89">
              <w:rPr>
                <w:sz w:val="28"/>
                <w:szCs w:val="28"/>
              </w:rPr>
              <w:t>частка спільних одиниць A3</w:t>
            </w:r>
            <w:r w:rsidRPr="00095E89">
              <w:rPr>
                <w:sz w:val="28"/>
                <w:szCs w:val="28"/>
                <w:vertAlign w:val="subscript"/>
              </w:rPr>
              <w:t>2</w:t>
            </w:r>
            <w:r w:rsidRPr="00095E89">
              <w:rPr>
                <w:sz w:val="28"/>
                <w:szCs w:val="28"/>
              </w:rPr>
              <w:t xml:space="preserve"> =</w:t>
            </w:r>
            <w:r w:rsidR="007D39A7">
              <w:rPr>
                <w:sz w:val="28"/>
                <w:szCs w:val="28"/>
                <w:lang w:val="en-US"/>
              </w:rPr>
              <w:t xml:space="preserve"> </w:t>
            </w:r>
            <w:r w:rsidRPr="00095E89">
              <w:rPr>
                <w:sz w:val="28"/>
                <w:szCs w:val="28"/>
              </w:rPr>
              <w:t>143/329 = 0,4347 або 43,5%.</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rPr>
                <w:color w:val="FF0000"/>
              </w:rPr>
            </w:pPr>
            <w:r w:rsidRPr="00704833">
              <w:t>S.13.3.2. Похибки вимірювання</w:t>
            </w:r>
          </w:p>
        </w:tc>
        <w:tc>
          <w:tcPr>
            <w:tcW w:w="8647" w:type="dxa"/>
            <w:shd w:val="clear" w:color="auto" w:fill="auto"/>
          </w:tcPr>
          <w:p w:rsidR="00CB3CDD" w:rsidRPr="00704833" w:rsidRDefault="00CB3CDD" w:rsidP="00CB3CDD">
            <w:pPr>
              <w:pStyle w:val="a5"/>
              <w:ind w:firstLine="458"/>
              <w:jc w:val="both"/>
              <w:rPr>
                <w:sz w:val="28"/>
                <w:szCs w:val="28"/>
              </w:rPr>
            </w:pPr>
            <w:r w:rsidRPr="00704833">
              <w:rPr>
                <w:sz w:val="28"/>
                <w:szCs w:val="28"/>
              </w:rPr>
              <w:t xml:space="preserve">Похибки вимірювання є одиничними та суттєво не впливають на </w:t>
            </w:r>
            <w:r w:rsidRPr="00704833">
              <w:rPr>
                <w:sz w:val="28"/>
                <w:szCs w:val="28"/>
              </w:rPr>
              <w:lastRenderedPageBreak/>
              <w:t>точність статистичних даних (за оцінкою до 1 %).</w:t>
            </w:r>
          </w:p>
          <w:p w:rsidR="00CB3CDD" w:rsidRPr="00704833" w:rsidRDefault="00347995" w:rsidP="00347995">
            <w:pPr>
              <w:pStyle w:val="a5"/>
              <w:ind w:firstLine="458"/>
              <w:jc w:val="both"/>
              <w:rPr>
                <w:color w:val="FF0000"/>
                <w:sz w:val="28"/>
                <w:szCs w:val="28"/>
              </w:rPr>
            </w:pPr>
            <w:r w:rsidRPr="00704833">
              <w:rPr>
                <w:sz w:val="28"/>
                <w:szCs w:val="28"/>
              </w:rPr>
              <w:t>Для запобігання похибок вимірювання здійснюється аналіз даних, що надійшли від респондентів. У разі виявлення неузгодженостей може здійснюватися зв’язок із респондентами для уточнення даних і відповідне редагування інформації.</w:t>
            </w:r>
          </w:p>
        </w:tc>
      </w:tr>
      <w:tr w:rsidR="00CB3CDD" w:rsidRPr="00704833" w:rsidTr="006023BA">
        <w:tc>
          <w:tcPr>
            <w:tcW w:w="5812" w:type="dxa"/>
            <w:shd w:val="clear" w:color="auto" w:fill="auto"/>
          </w:tcPr>
          <w:p w:rsidR="00CB3CDD" w:rsidRPr="00704833" w:rsidRDefault="00CB3CDD" w:rsidP="00CB3CDD">
            <w:pPr>
              <w:widowControl w:val="0"/>
              <w:autoSpaceDE w:val="0"/>
              <w:autoSpaceDN w:val="0"/>
              <w:adjustRightInd w:val="0"/>
              <w:rPr>
                <w:color w:val="FF0000"/>
              </w:rPr>
            </w:pPr>
            <w:r w:rsidRPr="00704833">
              <w:lastRenderedPageBreak/>
              <w:t xml:space="preserve">S.13.3.3. Похибки </w:t>
            </w:r>
            <w:proofErr w:type="spellStart"/>
            <w:r w:rsidRPr="00704833">
              <w:t>невідповідей</w:t>
            </w:r>
            <w:proofErr w:type="spellEnd"/>
            <w:r w:rsidRPr="00704833">
              <w:t xml:space="preserve"> одиниць</w:t>
            </w:r>
          </w:p>
        </w:tc>
        <w:tc>
          <w:tcPr>
            <w:tcW w:w="8647" w:type="dxa"/>
            <w:shd w:val="clear" w:color="auto" w:fill="auto"/>
          </w:tcPr>
          <w:p w:rsidR="002300B2" w:rsidRPr="00704833" w:rsidRDefault="002300B2" w:rsidP="002300B2">
            <w:pPr>
              <w:pStyle w:val="a5"/>
              <w:ind w:firstLine="458"/>
              <w:jc w:val="both"/>
              <w:rPr>
                <w:sz w:val="28"/>
                <w:szCs w:val="28"/>
              </w:rPr>
            </w:pPr>
            <w:r w:rsidRPr="00704833">
              <w:rPr>
                <w:sz w:val="28"/>
                <w:szCs w:val="28"/>
              </w:rPr>
              <w:t>За результатами спостереження розраховується рівень участі респондентів та здійснюється аналіз основних причин їх неучасті.</w:t>
            </w:r>
          </w:p>
          <w:p w:rsidR="002300B2" w:rsidRPr="00704833" w:rsidRDefault="002300B2" w:rsidP="002300B2">
            <w:pPr>
              <w:pStyle w:val="a5"/>
              <w:ind w:firstLine="458"/>
              <w:jc w:val="both"/>
              <w:rPr>
                <w:sz w:val="28"/>
                <w:szCs w:val="28"/>
              </w:rPr>
            </w:pPr>
            <w:r w:rsidRPr="00704833">
              <w:rPr>
                <w:sz w:val="28"/>
                <w:szCs w:val="28"/>
              </w:rPr>
              <w:t>Так показник щодо рівня участі респондентів в цілому по Україні у 2023 році склав:</w:t>
            </w:r>
          </w:p>
          <w:p w:rsidR="002300B2" w:rsidRPr="00704833" w:rsidRDefault="002300B2" w:rsidP="002300B2">
            <w:pPr>
              <w:pStyle w:val="a5"/>
              <w:ind w:firstLine="458"/>
              <w:jc w:val="both"/>
              <w:rPr>
                <w:sz w:val="28"/>
                <w:szCs w:val="28"/>
              </w:rPr>
            </w:pPr>
            <w:r w:rsidRPr="00704833">
              <w:rPr>
                <w:sz w:val="28"/>
                <w:szCs w:val="28"/>
              </w:rPr>
              <w:t xml:space="preserve">за формою № 9-ЗЕЗ (квартальна) – 71,3% від загальної кількості одиниць (респондентів) у сукупності, </w:t>
            </w:r>
          </w:p>
          <w:p w:rsidR="002300B2" w:rsidRPr="00704833" w:rsidRDefault="002300B2" w:rsidP="002300B2">
            <w:pPr>
              <w:pStyle w:val="a5"/>
              <w:ind w:firstLine="458"/>
              <w:jc w:val="both"/>
              <w:rPr>
                <w:sz w:val="28"/>
                <w:szCs w:val="28"/>
              </w:rPr>
            </w:pPr>
            <w:r w:rsidRPr="00704833">
              <w:rPr>
                <w:sz w:val="28"/>
                <w:szCs w:val="28"/>
              </w:rPr>
              <w:t>за формою № 1-ЗЕЗ (буд) (річна) – 86,4% від загальної кількості одиниць (респондентів) у сукупності.</w:t>
            </w:r>
          </w:p>
          <w:p w:rsidR="002300B2" w:rsidRPr="00704833" w:rsidRDefault="002300B2" w:rsidP="002300B2">
            <w:pPr>
              <w:ind w:firstLine="430"/>
              <w:jc w:val="both"/>
            </w:pPr>
            <w:r w:rsidRPr="00704833">
              <w:t xml:space="preserve">Причиною такого низького рівня участі респондентів у ДСС є те, що респонденти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p>
          <w:p w:rsidR="002300B2" w:rsidRPr="00704833" w:rsidRDefault="002300B2" w:rsidP="002300B2">
            <w:pPr>
              <w:pStyle w:val="a5"/>
              <w:ind w:firstLine="458"/>
              <w:jc w:val="both"/>
              <w:rPr>
                <w:sz w:val="28"/>
                <w:szCs w:val="28"/>
              </w:rPr>
            </w:pPr>
            <w:r w:rsidRPr="00704833">
              <w:rPr>
                <w:sz w:val="28"/>
                <w:szCs w:val="28"/>
              </w:rPr>
              <w:t>Аналогічний показник у 2021 році склав:</w:t>
            </w:r>
          </w:p>
          <w:p w:rsidR="002300B2" w:rsidRPr="00704833" w:rsidRDefault="002300B2" w:rsidP="002300B2">
            <w:pPr>
              <w:pStyle w:val="a5"/>
              <w:ind w:firstLine="458"/>
              <w:jc w:val="both"/>
              <w:rPr>
                <w:sz w:val="28"/>
                <w:szCs w:val="28"/>
              </w:rPr>
            </w:pPr>
            <w:r w:rsidRPr="00704833">
              <w:rPr>
                <w:sz w:val="28"/>
                <w:szCs w:val="28"/>
              </w:rPr>
              <w:t xml:space="preserve">за формою № 9-ЗЕЗ (квартальна) – 89,9% від загальної кількості одиниць (респондентів) у сукупності, </w:t>
            </w:r>
          </w:p>
          <w:p w:rsidR="002300B2" w:rsidRPr="00704833" w:rsidRDefault="002300B2" w:rsidP="002300B2">
            <w:pPr>
              <w:pStyle w:val="a5"/>
              <w:ind w:firstLine="458"/>
              <w:jc w:val="both"/>
              <w:rPr>
                <w:sz w:val="28"/>
                <w:szCs w:val="28"/>
              </w:rPr>
            </w:pPr>
            <w:r w:rsidRPr="00704833">
              <w:rPr>
                <w:sz w:val="28"/>
                <w:szCs w:val="28"/>
              </w:rPr>
              <w:t>за формою № 1-ЗЕЗ (буд) (річна) – 56,5% від загальної кількості одиниць (респондентів) у сукупності.</w:t>
            </w:r>
          </w:p>
          <w:p w:rsidR="00FD51A5" w:rsidRPr="00704833" w:rsidRDefault="002300B2" w:rsidP="00095E89">
            <w:pPr>
              <w:pStyle w:val="a5"/>
              <w:ind w:firstLine="458"/>
              <w:jc w:val="both"/>
              <w:rPr>
                <w:color w:val="FF0000"/>
                <w:sz w:val="28"/>
                <w:szCs w:val="28"/>
              </w:rPr>
            </w:pPr>
            <w:r w:rsidRPr="00704833">
              <w:rPr>
                <w:sz w:val="28"/>
                <w:szCs w:val="28"/>
              </w:rPr>
              <w:t xml:space="preserve">Діями з підвищення рівня відповідей є телефонне та електроннеконтактування з респондентами. </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 xml:space="preserve">S.13.3.3.1. Частка </w:t>
            </w:r>
            <w:proofErr w:type="spellStart"/>
            <w:r w:rsidRPr="00704833">
              <w:t>невідповідей</w:t>
            </w:r>
            <w:proofErr w:type="spellEnd"/>
            <w:r w:rsidRPr="00704833">
              <w:t xml:space="preserve"> одиниць (A4)</w:t>
            </w:r>
          </w:p>
        </w:tc>
        <w:tc>
          <w:tcPr>
            <w:tcW w:w="8647" w:type="dxa"/>
            <w:shd w:val="clear" w:color="auto" w:fill="auto"/>
          </w:tcPr>
          <w:p w:rsidR="00B62E14" w:rsidRPr="00704833" w:rsidRDefault="00B62E14" w:rsidP="00B62E14">
            <w:pPr>
              <w:pStyle w:val="a5"/>
              <w:ind w:firstLine="458"/>
              <w:jc w:val="both"/>
              <w:rPr>
                <w:sz w:val="28"/>
                <w:szCs w:val="28"/>
              </w:rPr>
            </w:pPr>
            <w:r w:rsidRPr="00704833">
              <w:rPr>
                <w:sz w:val="28"/>
                <w:szCs w:val="28"/>
              </w:rPr>
              <w:t xml:space="preserve">У 2023 році для участі у ДСС за формою № 9-ЗЕЗ (квартальна) було обрано 23689 респондентів, з них 16886 респондентів надали інформацію, 6803 – не прозвітували. </w:t>
            </w:r>
          </w:p>
          <w:p w:rsidR="00B62E14" w:rsidRPr="00704833" w:rsidRDefault="00B62E14" w:rsidP="00B62E14">
            <w:pPr>
              <w:pStyle w:val="a5"/>
              <w:ind w:firstLine="458"/>
              <w:jc w:val="both"/>
              <w:rPr>
                <w:sz w:val="28"/>
                <w:szCs w:val="28"/>
              </w:rPr>
            </w:pPr>
            <w:r w:rsidRPr="00704833">
              <w:rPr>
                <w:sz w:val="28"/>
                <w:szCs w:val="28"/>
              </w:rPr>
              <w:lastRenderedPageBreak/>
              <w:t>А4</w:t>
            </w:r>
            <w:r w:rsidRPr="00704833">
              <w:rPr>
                <w:sz w:val="28"/>
                <w:szCs w:val="28"/>
                <w:vertAlign w:val="subscript"/>
              </w:rPr>
              <w:t>1</w:t>
            </w:r>
            <w:r w:rsidRPr="00704833">
              <w:rPr>
                <w:sz w:val="28"/>
                <w:szCs w:val="28"/>
              </w:rPr>
              <w:t xml:space="preserve"> = 6803/23689 = 0,287.</w:t>
            </w:r>
          </w:p>
          <w:p w:rsidR="00B62E14" w:rsidRPr="00704833" w:rsidRDefault="00B62E14" w:rsidP="00B62E14">
            <w:pPr>
              <w:pStyle w:val="a5"/>
              <w:ind w:firstLine="458"/>
              <w:jc w:val="both"/>
              <w:rPr>
                <w:sz w:val="28"/>
                <w:szCs w:val="28"/>
              </w:rPr>
            </w:pPr>
            <w:r w:rsidRPr="00704833">
              <w:rPr>
                <w:sz w:val="28"/>
                <w:szCs w:val="28"/>
              </w:rPr>
              <w:t xml:space="preserve">28,7 % одиниць із сукупності не прозвітували. </w:t>
            </w:r>
          </w:p>
          <w:p w:rsidR="00B62E14" w:rsidRPr="00704833" w:rsidRDefault="00B62E14" w:rsidP="00B62E14">
            <w:pPr>
              <w:pStyle w:val="a5"/>
              <w:ind w:firstLine="458"/>
              <w:jc w:val="both"/>
              <w:rPr>
                <w:sz w:val="28"/>
                <w:szCs w:val="28"/>
              </w:rPr>
            </w:pPr>
            <w:r w:rsidRPr="00704833">
              <w:rPr>
                <w:sz w:val="28"/>
                <w:szCs w:val="28"/>
              </w:rPr>
              <w:t xml:space="preserve">Серед причин </w:t>
            </w:r>
            <w:proofErr w:type="spellStart"/>
            <w:r w:rsidRPr="00704833">
              <w:rPr>
                <w:sz w:val="28"/>
                <w:szCs w:val="28"/>
              </w:rPr>
              <w:t>невідповідей</w:t>
            </w:r>
            <w:proofErr w:type="spellEnd"/>
            <w:r w:rsidRPr="00704833">
              <w:rPr>
                <w:sz w:val="28"/>
                <w:szCs w:val="28"/>
              </w:rPr>
              <w:t xml:space="preserve"> найпоширенішими були такі:</w:t>
            </w:r>
          </w:p>
          <w:p w:rsidR="00B62E14" w:rsidRPr="00704833" w:rsidRDefault="00B62E14" w:rsidP="00B62E14">
            <w:pPr>
              <w:pStyle w:val="a5"/>
              <w:ind w:firstLine="458"/>
              <w:jc w:val="both"/>
              <w:rPr>
                <w:sz w:val="28"/>
                <w:szCs w:val="28"/>
              </w:rPr>
            </w:pPr>
            <w:r w:rsidRPr="00704833">
              <w:rPr>
                <w:sz w:val="28"/>
                <w:szCs w:val="28"/>
              </w:rPr>
              <w:t xml:space="preserve">Одиниця не знайдена за наявними контактами </w:t>
            </w:r>
            <w:r w:rsidRPr="00704833">
              <w:t xml:space="preserve">– </w:t>
            </w:r>
            <w:r w:rsidR="00347995" w:rsidRPr="00704833">
              <w:rPr>
                <w:sz w:val="28"/>
                <w:szCs w:val="28"/>
              </w:rPr>
              <w:t>11,8 </w:t>
            </w:r>
            <w:r w:rsidRPr="00704833">
              <w:rPr>
                <w:sz w:val="28"/>
                <w:szCs w:val="28"/>
              </w:rPr>
              <w:t>%;</w:t>
            </w:r>
          </w:p>
          <w:p w:rsidR="00B62E14" w:rsidRPr="00704833" w:rsidRDefault="00B62E14" w:rsidP="00B62E14">
            <w:pPr>
              <w:pStyle w:val="a5"/>
              <w:ind w:firstLine="458"/>
              <w:jc w:val="both"/>
              <w:rPr>
                <w:sz w:val="28"/>
                <w:szCs w:val="28"/>
              </w:rPr>
            </w:pPr>
            <w:r w:rsidRPr="00704833">
              <w:rPr>
                <w:sz w:val="28"/>
                <w:szCs w:val="28"/>
              </w:rPr>
              <w:t>одиниця не звітує з причини виникнення надзвичайних та непереборних обставин – 79,9 %.</w:t>
            </w:r>
          </w:p>
          <w:p w:rsidR="00B62E14" w:rsidRPr="00704833" w:rsidRDefault="00B62E14" w:rsidP="00B62E14">
            <w:pPr>
              <w:pStyle w:val="a5"/>
              <w:ind w:firstLine="458"/>
              <w:jc w:val="both"/>
            </w:pPr>
          </w:p>
          <w:p w:rsidR="00B62E14" w:rsidRPr="00704833" w:rsidRDefault="00B62E14" w:rsidP="00B62E14">
            <w:pPr>
              <w:pStyle w:val="a5"/>
              <w:ind w:firstLine="458"/>
              <w:jc w:val="both"/>
              <w:rPr>
                <w:sz w:val="28"/>
                <w:szCs w:val="28"/>
              </w:rPr>
            </w:pPr>
            <w:r w:rsidRPr="00704833">
              <w:rPr>
                <w:sz w:val="28"/>
                <w:szCs w:val="28"/>
              </w:rPr>
              <w:t>Для участі у статистичному спостереженні за формою № 1-ЗЕЗ (буд) було обрано 381 респондент, з них 329 респондентів надали інформацію, 52 – не прозвітували.</w:t>
            </w:r>
          </w:p>
          <w:p w:rsidR="00B62E14" w:rsidRPr="00704833" w:rsidRDefault="00B62E14" w:rsidP="00B62E14">
            <w:pPr>
              <w:pStyle w:val="a5"/>
              <w:ind w:firstLine="458"/>
              <w:jc w:val="both"/>
              <w:rPr>
                <w:sz w:val="28"/>
                <w:szCs w:val="28"/>
              </w:rPr>
            </w:pPr>
            <w:r w:rsidRPr="00704833">
              <w:rPr>
                <w:sz w:val="28"/>
                <w:szCs w:val="28"/>
              </w:rPr>
              <w:t>А4</w:t>
            </w:r>
            <w:r w:rsidRPr="00704833">
              <w:rPr>
                <w:sz w:val="28"/>
                <w:szCs w:val="28"/>
                <w:vertAlign w:val="subscript"/>
              </w:rPr>
              <w:t>2</w:t>
            </w:r>
            <w:r w:rsidRPr="00704833">
              <w:rPr>
                <w:sz w:val="28"/>
                <w:szCs w:val="28"/>
              </w:rPr>
              <w:t xml:space="preserve"> = 52/381 = 0,136.</w:t>
            </w:r>
          </w:p>
          <w:p w:rsidR="00B62E14" w:rsidRPr="00704833" w:rsidRDefault="00B62E14" w:rsidP="00B62E14">
            <w:pPr>
              <w:pStyle w:val="a5"/>
              <w:ind w:firstLine="458"/>
              <w:jc w:val="both"/>
              <w:rPr>
                <w:sz w:val="28"/>
                <w:szCs w:val="28"/>
              </w:rPr>
            </w:pPr>
            <w:r w:rsidRPr="00704833">
              <w:rPr>
                <w:sz w:val="28"/>
                <w:szCs w:val="28"/>
              </w:rPr>
              <w:t xml:space="preserve">13,6 % одиниць із сукупності не прозвітували. </w:t>
            </w:r>
          </w:p>
          <w:p w:rsidR="00B62E14" w:rsidRPr="00704833" w:rsidRDefault="00B62E14" w:rsidP="00B62E14">
            <w:pPr>
              <w:pStyle w:val="a5"/>
              <w:ind w:firstLine="458"/>
              <w:jc w:val="both"/>
              <w:rPr>
                <w:sz w:val="28"/>
                <w:szCs w:val="28"/>
              </w:rPr>
            </w:pPr>
            <w:r w:rsidRPr="00704833">
              <w:rPr>
                <w:sz w:val="28"/>
                <w:szCs w:val="28"/>
              </w:rPr>
              <w:t xml:space="preserve">Серед причин </w:t>
            </w:r>
            <w:proofErr w:type="spellStart"/>
            <w:r w:rsidRPr="00704833">
              <w:rPr>
                <w:sz w:val="28"/>
                <w:szCs w:val="28"/>
              </w:rPr>
              <w:t>невідповідей</w:t>
            </w:r>
            <w:proofErr w:type="spellEnd"/>
            <w:r w:rsidRPr="00704833">
              <w:rPr>
                <w:sz w:val="28"/>
                <w:szCs w:val="28"/>
              </w:rPr>
              <w:t xml:space="preserve"> найпоширенішими були:</w:t>
            </w:r>
          </w:p>
          <w:p w:rsidR="00B62E14" w:rsidRPr="00704833" w:rsidRDefault="00B62E14" w:rsidP="00B62E14">
            <w:pPr>
              <w:pStyle w:val="a5"/>
              <w:ind w:firstLine="458"/>
              <w:jc w:val="both"/>
              <w:rPr>
                <w:sz w:val="28"/>
                <w:szCs w:val="28"/>
              </w:rPr>
            </w:pPr>
            <w:r w:rsidRPr="00704833">
              <w:rPr>
                <w:sz w:val="28"/>
                <w:szCs w:val="28"/>
              </w:rPr>
              <w:t>у одиниці відсутнє явище, яке спостерігається – 19,2 %;</w:t>
            </w:r>
          </w:p>
          <w:p w:rsidR="00B62E14" w:rsidRPr="00704833" w:rsidRDefault="00B62E14" w:rsidP="00B62E14">
            <w:pPr>
              <w:pStyle w:val="a5"/>
              <w:ind w:firstLine="458"/>
              <w:jc w:val="both"/>
              <w:rPr>
                <w:sz w:val="28"/>
                <w:szCs w:val="28"/>
              </w:rPr>
            </w:pPr>
            <w:r w:rsidRPr="00704833">
              <w:rPr>
                <w:sz w:val="28"/>
                <w:szCs w:val="28"/>
              </w:rPr>
              <w:t>одиниця не звітує з причини виникнення надзвичайних та непереборних обставин – 61,5 %.</w:t>
            </w:r>
          </w:p>
          <w:p w:rsidR="00B62E14" w:rsidRPr="00704833" w:rsidRDefault="00B62E14" w:rsidP="00B62E14">
            <w:pPr>
              <w:pStyle w:val="a5"/>
              <w:ind w:firstLine="458"/>
              <w:jc w:val="both"/>
              <w:rPr>
                <w:sz w:val="28"/>
                <w:szCs w:val="28"/>
              </w:rPr>
            </w:pPr>
          </w:p>
          <w:p w:rsidR="00B62E14" w:rsidRPr="00704833" w:rsidRDefault="008C6FA3" w:rsidP="00B62E14">
            <w:pPr>
              <w:pStyle w:val="a5"/>
              <w:ind w:firstLine="458"/>
              <w:jc w:val="both"/>
              <w:rPr>
                <w:sz w:val="28"/>
                <w:szCs w:val="28"/>
              </w:rPr>
            </w:pPr>
            <w:r>
              <w:rPr>
                <w:sz w:val="28"/>
                <w:szCs w:val="28"/>
              </w:rPr>
              <w:t xml:space="preserve">У 2021 </w:t>
            </w:r>
            <w:r w:rsidRPr="00095E89">
              <w:rPr>
                <w:sz w:val="28"/>
                <w:szCs w:val="28"/>
              </w:rPr>
              <w:t>році</w:t>
            </w:r>
            <w:r w:rsidR="00B62E14" w:rsidRPr="00704833">
              <w:rPr>
                <w:sz w:val="28"/>
                <w:szCs w:val="28"/>
              </w:rPr>
              <w:t xml:space="preserve"> за формою № 9-ЗЕЗ (квартальна) було обрано 16366 респондентів, з них 14718 респондентів надали інформацію, 1648 – не прозвітували. </w:t>
            </w:r>
          </w:p>
          <w:p w:rsidR="00B62E14" w:rsidRPr="00704833" w:rsidRDefault="00B62E14" w:rsidP="00B62E14">
            <w:pPr>
              <w:pStyle w:val="a5"/>
              <w:ind w:firstLine="458"/>
              <w:jc w:val="both"/>
              <w:rPr>
                <w:sz w:val="28"/>
                <w:szCs w:val="28"/>
              </w:rPr>
            </w:pPr>
            <w:r w:rsidRPr="00704833">
              <w:rPr>
                <w:sz w:val="28"/>
                <w:szCs w:val="28"/>
              </w:rPr>
              <w:t>А4</w:t>
            </w:r>
            <w:r w:rsidRPr="00704833">
              <w:rPr>
                <w:sz w:val="28"/>
                <w:szCs w:val="28"/>
                <w:vertAlign w:val="subscript"/>
              </w:rPr>
              <w:t>1</w:t>
            </w:r>
            <w:r w:rsidRPr="00704833">
              <w:rPr>
                <w:sz w:val="28"/>
                <w:szCs w:val="28"/>
              </w:rPr>
              <w:t xml:space="preserve"> = 3683/18297 = 0,101.</w:t>
            </w:r>
          </w:p>
          <w:p w:rsidR="00B62E14" w:rsidRPr="00704833" w:rsidRDefault="00B62E14" w:rsidP="00B62E14">
            <w:pPr>
              <w:pStyle w:val="a5"/>
              <w:ind w:firstLine="458"/>
              <w:jc w:val="both"/>
              <w:rPr>
                <w:sz w:val="28"/>
                <w:szCs w:val="28"/>
              </w:rPr>
            </w:pPr>
            <w:r w:rsidRPr="00704833">
              <w:rPr>
                <w:sz w:val="28"/>
                <w:szCs w:val="28"/>
              </w:rPr>
              <w:t xml:space="preserve">10,1 % одиниць із сукупності не прозвітували. </w:t>
            </w:r>
          </w:p>
          <w:p w:rsidR="00B62E14" w:rsidRPr="00704833" w:rsidRDefault="00B62E14" w:rsidP="00B62E14">
            <w:pPr>
              <w:pStyle w:val="a5"/>
              <w:ind w:firstLine="458"/>
              <w:jc w:val="both"/>
              <w:rPr>
                <w:sz w:val="28"/>
                <w:szCs w:val="28"/>
              </w:rPr>
            </w:pPr>
            <w:r w:rsidRPr="00704833">
              <w:rPr>
                <w:sz w:val="28"/>
                <w:szCs w:val="28"/>
              </w:rPr>
              <w:t xml:space="preserve">Серед причин </w:t>
            </w:r>
            <w:proofErr w:type="spellStart"/>
            <w:r w:rsidRPr="00704833">
              <w:rPr>
                <w:sz w:val="28"/>
                <w:szCs w:val="28"/>
              </w:rPr>
              <w:t>невідповідей</w:t>
            </w:r>
            <w:proofErr w:type="spellEnd"/>
            <w:r w:rsidRPr="00704833">
              <w:rPr>
                <w:sz w:val="28"/>
                <w:szCs w:val="28"/>
              </w:rPr>
              <w:t xml:space="preserve"> найпоширенішими були такі:</w:t>
            </w:r>
          </w:p>
          <w:p w:rsidR="00B62E14" w:rsidRPr="00704833" w:rsidRDefault="00B62E14" w:rsidP="00B62E14">
            <w:pPr>
              <w:pStyle w:val="a5"/>
              <w:ind w:firstLine="458"/>
              <w:jc w:val="both"/>
              <w:rPr>
                <w:sz w:val="28"/>
                <w:szCs w:val="28"/>
              </w:rPr>
            </w:pPr>
            <w:r w:rsidRPr="00704833">
              <w:rPr>
                <w:sz w:val="28"/>
                <w:szCs w:val="28"/>
              </w:rPr>
              <w:t>одиниця не знайдена за наявними контактами (18,1 %);</w:t>
            </w:r>
            <w:r w:rsidRPr="00704833">
              <w:rPr>
                <w:sz w:val="28"/>
                <w:szCs w:val="28"/>
              </w:rPr>
              <w:tab/>
            </w:r>
          </w:p>
          <w:p w:rsidR="00B62E14" w:rsidRPr="00704833" w:rsidRDefault="00B62E14" w:rsidP="00B62E14">
            <w:pPr>
              <w:pStyle w:val="a5"/>
              <w:ind w:firstLine="458"/>
              <w:jc w:val="both"/>
              <w:rPr>
                <w:sz w:val="28"/>
                <w:szCs w:val="28"/>
              </w:rPr>
            </w:pPr>
            <w:r w:rsidRPr="00704833">
              <w:rPr>
                <w:sz w:val="28"/>
                <w:szCs w:val="28"/>
              </w:rPr>
              <w:t>одиниця не здійснює вид діяльності, що формує явище, яке спостерігається</w:t>
            </w:r>
            <w:r w:rsidR="00A64AC9">
              <w:rPr>
                <w:sz w:val="28"/>
                <w:szCs w:val="28"/>
                <w:lang w:val="en-US"/>
              </w:rPr>
              <w:t xml:space="preserve"> </w:t>
            </w:r>
            <w:r w:rsidRPr="00704833">
              <w:rPr>
                <w:sz w:val="28"/>
                <w:szCs w:val="28"/>
              </w:rPr>
              <w:t>– 23,6 %.</w:t>
            </w:r>
          </w:p>
          <w:p w:rsidR="00B62E14" w:rsidRPr="00704833" w:rsidRDefault="00B62E14" w:rsidP="00B62E14">
            <w:pPr>
              <w:pStyle w:val="a5"/>
              <w:ind w:firstLine="458"/>
              <w:jc w:val="both"/>
              <w:rPr>
                <w:sz w:val="28"/>
                <w:szCs w:val="28"/>
              </w:rPr>
            </w:pPr>
            <w:r w:rsidRPr="00704833">
              <w:rPr>
                <w:sz w:val="28"/>
                <w:szCs w:val="28"/>
              </w:rPr>
              <w:t xml:space="preserve">Для участі у статистичному спостереженні за формою № 1-ЗЕЗ (буд) (річна) було обрано 324 </w:t>
            </w:r>
            <w:r w:rsidRPr="00095E89">
              <w:rPr>
                <w:sz w:val="28"/>
                <w:szCs w:val="28"/>
              </w:rPr>
              <w:t>респондент</w:t>
            </w:r>
            <w:r w:rsidR="008C6FA3" w:rsidRPr="00095E89">
              <w:rPr>
                <w:sz w:val="28"/>
                <w:szCs w:val="28"/>
              </w:rPr>
              <w:t>и</w:t>
            </w:r>
            <w:r w:rsidRPr="00095E89">
              <w:rPr>
                <w:sz w:val="28"/>
                <w:szCs w:val="28"/>
              </w:rPr>
              <w:t>, з них 183 респондент</w:t>
            </w:r>
            <w:r w:rsidR="008C6FA3" w:rsidRPr="00095E89">
              <w:rPr>
                <w:sz w:val="28"/>
                <w:szCs w:val="28"/>
              </w:rPr>
              <w:t>и</w:t>
            </w:r>
            <w:r w:rsidRPr="00704833">
              <w:rPr>
                <w:sz w:val="28"/>
                <w:szCs w:val="28"/>
              </w:rPr>
              <w:t xml:space="preserve"> </w:t>
            </w:r>
            <w:r w:rsidRPr="00704833">
              <w:rPr>
                <w:sz w:val="28"/>
                <w:szCs w:val="28"/>
              </w:rPr>
              <w:lastRenderedPageBreak/>
              <w:t>надали інформацію, 141 – не прозвітували.</w:t>
            </w:r>
          </w:p>
          <w:p w:rsidR="00B62E14" w:rsidRPr="00704833" w:rsidRDefault="00B62E14" w:rsidP="00B62E14">
            <w:pPr>
              <w:pStyle w:val="a5"/>
              <w:ind w:firstLine="458"/>
              <w:jc w:val="both"/>
              <w:rPr>
                <w:sz w:val="28"/>
                <w:szCs w:val="28"/>
              </w:rPr>
            </w:pPr>
            <w:r w:rsidRPr="00704833">
              <w:rPr>
                <w:sz w:val="28"/>
                <w:szCs w:val="28"/>
              </w:rPr>
              <w:t>А4</w:t>
            </w:r>
            <w:r w:rsidRPr="00704833">
              <w:rPr>
                <w:sz w:val="28"/>
                <w:szCs w:val="28"/>
                <w:vertAlign w:val="subscript"/>
              </w:rPr>
              <w:t>2</w:t>
            </w:r>
            <w:r w:rsidRPr="00704833">
              <w:rPr>
                <w:sz w:val="28"/>
                <w:szCs w:val="28"/>
              </w:rPr>
              <w:t>= 141/324 = 0,435.</w:t>
            </w:r>
          </w:p>
          <w:p w:rsidR="00B62E14" w:rsidRPr="00704833" w:rsidRDefault="00B62E14" w:rsidP="00B62E14">
            <w:pPr>
              <w:pStyle w:val="a5"/>
              <w:ind w:firstLine="458"/>
              <w:jc w:val="both"/>
              <w:rPr>
                <w:sz w:val="28"/>
                <w:szCs w:val="28"/>
              </w:rPr>
            </w:pPr>
            <w:r w:rsidRPr="00704833">
              <w:rPr>
                <w:sz w:val="28"/>
                <w:szCs w:val="28"/>
              </w:rPr>
              <w:t xml:space="preserve">43,5 % одиниць із сукупності не прозвітували. </w:t>
            </w:r>
          </w:p>
          <w:p w:rsidR="00B62E14" w:rsidRPr="00704833" w:rsidRDefault="00B62E14" w:rsidP="00A64AC9">
            <w:pPr>
              <w:pStyle w:val="a5"/>
              <w:ind w:firstLine="458"/>
              <w:jc w:val="both"/>
              <w:rPr>
                <w:color w:val="FF0000"/>
                <w:sz w:val="28"/>
                <w:szCs w:val="28"/>
              </w:rPr>
            </w:pPr>
            <w:r w:rsidRPr="00704833">
              <w:rPr>
                <w:sz w:val="28"/>
                <w:szCs w:val="28"/>
              </w:rPr>
              <w:t xml:space="preserve">Серед причин </w:t>
            </w:r>
            <w:proofErr w:type="spellStart"/>
            <w:r w:rsidRPr="00704833">
              <w:rPr>
                <w:sz w:val="28"/>
                <w:szCs w:val="28"/>
              </w:rPr>
              <w:t>невідповідей</w:t>
            </w:r>
            <w:proofErr w:type="spellEnd"/>
            <w:r w:rsidRPr="00704833">
              <w:rPr>
                <w:sz w:val="28"/>
                <w:szCs w:val="28"/>
              </w:rPr>
              <w:t xml:space="preserve"> найпоширенішими була "Одиниця не звітує з причини виникнення надзвичайних та непереборних </w:t>
            </w:r>
            <w:r w:rsidR="00F71191">
              <w:rPr>
                <w:sz w:val="28"/>
                <w:szCs w:val="28"/>
              </w:rPr>
              <w:t xml:space="preserve">                        обставин</w:t>
            </w:r>
            <w:r w:rsidRPr="00704833">
              <w:rPr>
                <w:sz w:val="28"/>
                <w:szCs w:val="28"/>
              </w:rPr>
              <w:t xml:space="preserve">" </w:t>
            </w:r>
            <w:r w:rsidR="00A64AC9">
              <w:rPr>
                <w:sz w:val="28"/>
                <w:szCs w:val="28"/>
                <w:lang w:val="en-US"/>
              </w:rPr>
              <w:t>–</w:t>
            </w:r>
            <w:r w:rsidR="00F71191">
              <w:rPr>
                <w:sz w:val="28"/>
                <w:szCs w:val="28"/>
              </w:rPr>
              <w:t xml:space="preserve"> </w:t>
            </w:r>
            <w:r w:rsidRPr="00704833">
              <w:rPr>
                <w:sz w:val="28"/>
                <w:szCs w:val="28"/>
              </w:rPr>
              <w:t>64,5  %.</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rPr>
                <w:color w:val="FF0000"/>
              </w:rPr>
            </w:pPr>
            <w:r w:rsidRPr="00704833">
              <w:lastRenderedPageBreak/>
              <w:t xml:space="preserve">S.13.3.3.2. Рівень </w:t>
            </w:r>
            <w:proofErr w:type="spellStart"/>
            <w:r w:rsidRPr="00704833">
              <w:t>невідповідей</w:t>
            </w:r>
            <w:proofErr w:type="spellEnd"/>
            <w:r w:rsidRPr="00704833">
              <w:t xml:space="preserve"> одиниць (A5)</w:t>
            </w:r>
          </w:p>
        </w:tc>
        <w:tc>
          <w:tcPr>
            <w:tcW w:w="8647" w:type="dxa"/>
            <w:shd w:val="clear" w:color="auto" w:fill="auto"/>
          </w:tcPr>
          <w:p w:rsidR="00FD51A5" w:rsidRDefault="00B62E14" w:rsidP="00B62E14">
            <w:pPr>
              <w:ind w:firstLine="458"/>
              <w:jc w:val="both"/>
            </w:pPr>
            <w:r w:rsidRPr="00704833">
              <w:t>Кількість залучених до звітування респондентів, які надали ОДС інформацію за 2023 рік за цим ДСС</w:t>
            </w:r>
            <w:r w:rsidR="00FD51A5">
              <w:t>:</w:t>
            </w:r>
          </w:p>
          <w:p w:rsidR="00B62E14" w:rsidRPr="00704833" w:rsidRDefault="00B62E14" w:rsidP="00B62E14">
            <w:pPr>
              <w:ind w:firstLine="458"/>
              <w:jc w:val="both"/>
            </w:pPr>
            <w:r w:rsidRPr="00704833">
              <w:t xml:space="preserve">за формою № 9-ЗЕЗ (квартальна) </w:t>
            </w:r>
            <w:r w:rsidRPr="008C6FA3">
              <w:t>стан</w:t>
            </w:r>
            <w:r w:rsidRPr="00095E89">
              <w:t>овил</w:t>
            </w:r>
            <w:r w:rsidR="008C6FA3" w:rsidRPr="00095E89">
              <w:t>а</w:t>
            </w:r>
            <w:r w:rsidRPr="00704833">
              <w:t>23689, кількість залучених до звітування респондентів, які не надали ОДС інформацію – 6803</w:t>
            </w:r>
            <w:r w:rsidR="00FD51A5">
              <w:t>, з</w:t>
            </w:r>
            <w:r w:rsidRPr="00704833">
              <w:t>а формою№ 1-ЗЕЗ (буд) (річна) – 381 та 52 відповідно.</w:t>
            </w:r>
          </w:p>
          <w:p w:rsidR="00B62E14" w:rsidRPr="00704833" w:rsidRDefault="00B62E14" w:rsidP="00B62E14">
            <w:pPr>
              <w:ind w:firstLine="458"/>
              <w:jc w:val="both"/>
            </w:pPr>
            <w:r w:rsidRPr="00704833">
              <w:t xml:space="preserve">Показник якості щодо рівня </w:t>
            </w:r>
            <w:proofErr w:type="spellStart"/>
            <w:r w:rsidRPr="00704833">
              <w:t>невідповідей</w:t>
            </w:r>
            <w:proofErr w:type="spellEnd"/>
            <w:r w:rsidRPr="00704833">
              <w:t xml:space="preserve"> одиниць (як співвідношення тих респондентів, хто прозвітував, до тих, хто був залучений, але не надав інформацію, склав: </w:t>
            </w:r>
          </w:p>
          <w:p w:rsidR="00B62E14" w:rsidRPr="00704833" w:rsidRDefault="00B62E14" w:rsidP="00B62E14">
            <w:pPr>
              <w:ind w:firstLine="458"/>
              <w:jc w:val="both"/>
            </w:pPr>
            <w:r w:rsidRPr="00704833">
              <w:t>для форми № 9-ЗЕЗ (квартальна) А5</w:t>
            </w:r>
            <w:r w:rsidRPr="00704833">
              <w:rPr>
                <w:vertAlign w:val="subscript"/>
              </w:rPr>
              <w:t>1</w:t>
            </w:r>
            <w:r w:rsidRPr="00704833">
              <w:t xml:space="preserve"> = 1 – 6803/23689 = 0,71;</w:t>
            </w:r>
          </w:p>
          <w:p w:rsidR="00B62E14" w:rsidRPr="00704833" w:rsidRDefault="00B62E14" w:rsidP="00B62E14">
            <w:pPr>
              <w:ind w:firstLine="458"/>
              <w:jc w:val="both"/>
            </w:pPr>
            <w:r w:rsidRPr="00704833">
              <w:t>для форми № 1-ЗЕЗ (буд) (річна) А5</w:t>
            </w:r>
            <w:r w:rsidRPr="00704833">
              <w:rPr>
                <w:vertAlign w:val="subscript"/>
              </w:rPr>
              <w:t>2</w:t>
            </w:r>
            <w:r w:rsidRPr="00704833">
              <w:t xml:space="preserve"> = 1 – 52/381 = 0,86</w:t>
            </w:r>
            <w:r w:rsidR="00F71191">
              <w:t>.</w:t>
            </w:r>
          </w:p>
          <w:p w:rsidR="00B62E14" w:rsidRPr="00704833" w:rsidRDefault="00B62E14" w:rsidP="00B62E14">
            <w:pPr>
              <w:ind w:firstLine="458"/>
              <w:jc w:val="both"/>
            </w:pPr>
            <w:r w:rsidRPr="00704833">
              <w:t>Для порівняння кількість залучених до звітування респондентів, які надали ОДС інформацію за результатами ДСС у 2021 році за формою № 9-ЗЕЗ (квартальна) становить 16366, кількість залучених до звітування респондентів, які не надали ОДС інформацію – 1648; за формою № 1-ЗЕЗ (буд) (річна) – 324 та 141 відповідно.</w:t>
            </w:r>
          </w:p>
          <w:p w:rsidR="00B62E14" w:rsidRPr="00704833" w:rsidRDefault="00B62E14" w:rsidP="00B62E14">
            <w:pPr>
              <w:ind w:firstLine="458"/>
              <w:jc w:val="both"/>
            </w:pPr>
            <w:r w:rsidRPr="00704833">
              <w:t xml:space="preserve">Показник якості щодо рівня </w:t>
            </w:r>
            <w:proofErr w:type="spellStart"/>
            <w:r w:rsidRPr="00704833">
              <w:t>невідповідей</w:t>
            </w:r>
            <w:proofErr w:type="spellEnd"/>
            <w:r w:rsidRPr="00704833">
              <w:t xml:space="preserve"> одиниць (як співвідношення тих респондентів, хто прозвітував, до тих, хто був залучений, але не надав інформацію склав: </w:t>
            </w:r>
          </w:p>
          <w:p w:rsidR="00B62E14" w:rsidRPr="00704833" w:rsidRDefault="00B62E14" w:rsidP="00B62E14">
            <w:pPr>
              <w:ind w:firstLine="458"/>
              <w:jc w:val="both"/>
            </w:pPr>
            <w:r w:rsidRPr="00704833">
              <w:t>для форми № 9-ЗЕЗ (квартальна) А5</w:t>
            </w:r>
            <w:r w:rsidRPr="00704833">
              <w:rPr>
                <w:vertAlign w:val="subscript"/>
              </w:rPr>
              <w:t>1</w:t>
            </w:r>
            <w:r w:rsidRPr="00704833">
              <w:t xml:space="preserve"> = 1 – 1648/16366 = 0,89;</w:t>
            </w:r>
          </w:p>
          <w:p w:rsidR="00B62E14" w:rsidRPr="00704833" w:rsidRDefault="00B62E14" w:rsidP="00B62E14">
            <w:pPr>
              <w:ind w:firstLine="458"/>
              <w:jc w:val="both"/>
              <w:rPr>
                <w:color w:val="FF0000"/>
              </w:rPr>
            </w:pPr>
            <w:r w:rsidRPr="00704833">
              <w:t>для форми № 1-ЗЕЗ (буд) (квартальна) А5</w:t>
            </w:r>
            <w:r w:rsidRPr="00704833">
              <w:rPr>
                <w:vertAlign w:val="subscript"/>
              </w:rPr>
              <w:t>2</w:t>
            </w:r>
            <w:r w:rsidRPr="00704833">
              <w:t xml:space="preserve"> = 1 – 141/324 = 0,56.</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S.13.3.4. Похибки обробки даних</w:t>
            </w:r>
          </w:p>
        </w:tc>
        <w:tc>
          <w:tcPr>
            <w:tcW w:w="8647" w:type="dxa"/>
            <w:shd w:val="clear" w:color="auto" w:fill="auto"/>
          </w:tcPr>
          <w:p w:rsidR="00B62E14" w:rsidRPr="00704833" w:rsidRDefault="00B62E14" w:rsidP="00B62E14">
            <w:pPr>
              <w:ind w:firstLine="430"/>
              <w:jc w:val="both"/>
            </w:pPr>
            <w:r w:rsidRPr="00704833">
              <w:t xml:space="preserve">Для запобігання похибок оброблення даних передбачена система </w:t>
            </w:r>
            <w:r w:rsidRPr="00704833">
              <w:lastRenderedPageBreak/>
              <w:t xml:space="preserve">контролів на етапі подання звітів, а також уведеної інформації: щодо повноти та правильності заповнення статистичних формулярів, правильності кодування інформації відповідно до класифікаторів, довідників, переліків кодів, арифметичних дій з кількісними показниками, обмежень уведення мінімальних/максимальних значень, наявності дублюючих записів, логічних контролів щодо взаємопов’язаних показників. </w:t>
            </w:r>
          </w:p>
          <w:p w:rsidR="00B62E14" w:rsidRDefault="00B62E14" w:rsidP="00B62E14">
            <w:pPr>
              <w:ind w:firstLine="430"/>
              <w:jc w:val="both"/>
            </w:pPr>
            <w:r w:rsidRPr="00704833">
              <w:t xml:space="preserve">У середньому похибка обробки за оцінкою </w:t>
            </w:r>
            <w:r w:rsidRPr="009A5E0E">
              <w:t>складає до 1%.</w:t>
            </w:r>
          </w:p>
          <w:p w:rsidR="008C6FA3" w:rsidRPr="00704833" w:rsidRDefault="008C6FA3" w:rsidP="00B62E14">
            <w:pPr>
              <w:ind w:firstLine="430"/>
              <w:jc w:val="both"/>
            </w:pPr>
            <w:r w:rsidRPr="00095E89">
              <w:t>Кожна процедура обробки даних супроводжується формуванням протоколів припущених помилок.</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lastRenderedPageBreak/>
              <w:t>S.13.3.5. Похибки вибору моделі</w:t>
            </w:r>
          </w:p>
        </w:tc>
        <w:tc>
          <w:tcPr>
            <w:tcW w:w="8647" w:type="dxa"/>
            <w:shd w:val="clear" w:color="auto" w:fill="auto"/>
          </w:tcPr>
          <w:p w:rsidR="000179E8" w:rsidRPr="000179E8" w:rsidRDefault="000179E8" w:rsidP="00095E89">
            <w:pPr>
              <w:ind w:firstLine="458"/>
              <w:jc w:val="both"/>
              <w:rPr>
                <w:strike/>
              </w:rPr>
            </w:pPr>
            <w:r w:rsidRPr="00095E89">
              <w:t>Для цього ДСС застосовуються методи вибору моделі в частині формування сукупнос</w:t>
            </w:r>
            <w:r w:rsidR="00095E89">
              <w:t xml:space="preserve">тей одиниць. Похибки описані у </w:t>
            </w:r>
            <w:r w:rsidRPr="00095E89">
              <w:t>S.13.3.1 та S.13.3.1.1.</w:t>
            </w:r>
          </w:p>
        </w:tc>
      </w:tr>
      <w:tr w:rsidR="00B62E14" w:rsidRPr="00704833" w:rsidTr="006023BA">
        <w:trPr>
          <w:trHeight w:val="363"/>
        </w:trPr>
        <w:tc>
          <w:tcPr>
            <w:tcW w:w="14459" w:type="dxa"/>
            <w:gridSpan w:val="2"/>
            <w:shd w:val="clear" w:color="auto" w:fill="auto"/>
          </w:tcPr>
          <w:p w:rsidR="00B62E14" w:rsidRPr="00704833" w:rsidRDefault="00B62E14" w:rsidP="00B62E14">
            <w:pPr>
              <w:widowControl w:val="0"/>
              <w:autoSpaceDE w:val="0"/>
              <w:autoSpaceDN w:val="0"/>
              <w:adjustRightInd w:val="0"/>
            </w:pPr>
            <w:r w:rsidRPr="00704833">
              <w:t>S.14. Своєчасність і пунктуальність</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rPr>
                <w:highlight w:val="green"/>
              </w:rPr>
            </w:pPr>
            <w:r w:rsidRPr="00704833">
              <w:t>S.14.1. Своєчасність і тривалість часу до оприлюднення інформації (TP2)</w:t>
            </w:r>
          </w:p>
        </w:tc>
        <w:tc>
          <w:tcPr>
            <w:tcW w:w="8647" w:type="dxa"/>
            <w:shd w:val="clear" w:color="auto" w:fill="auto"/>
          </w:tcPr>
          <w:p w:rsidR="00B62E14" w:rsidRPr="009A5E0E" w:rsidRDefault="00B62E14" w:rsidP="00B62E14">
            <w:pPr>
              <w:tabs>
                <w:tab w:val="left" w:pos="851"/>
              </w:tabs>
              <w:ind w:firstLine="602"/>
              <w:jc w:val="both"/>
            </w:pPr>
            <w:r w:rsidRPr="00704833">
              <w:t xml:space="preserve">Збір первинних даних ДСС здійснюється щоквартально не пізніше 10-го числа місяця, наступного за звітним періодом. </w:t>
            </w:r>
            <w:r w:rsidRPr="009A5E0E">
              <w:t>Також в межах ДСС щоквартально здійснюється формування даних за підприємствами, що прозвітували за формою № 9-ЗЕЗ (квартальна), за окремими показниками на підставі ДСС "Експорт/імпорт продукції (товарів, послуг) військового призначення та подвійного використання", які отримуються щоквартально у третій декаді місяця, наступного за звітним періодом, в електронній формі.</w:t>
            </w:r>
          </w:p>
          <w:p w:rsidR="00D22044" w:rsidRPr="00704833" w:rsidRDefault="00D22044" w:rsidP="00B62E14">
            <w:pPr>
              <w:ind w:firstLine="431"/>
              <w:jc w:val="both"/>
            </w:pPr>
            <w:r w:rsidRPr="00704833">
              <w:t>За результатами ДСС поширюються квартальні дані (попередні, остаточні), а також дані річні (попередні, остаточні</w:t>
            </w:r>
            <w:r w:rsidR="00074392" w:rsidRPr="00704833">
              <w:t>).</w:t>
            </w:r>
          </w:p>
          <w:p w:rsidR="00074392" w:rsidRPr="00704833" w:rsidRDefault="00B62E14" w:rsidP="00B62E14">
            <w:pPr>
              <w:ind w:firstLine="431"/>
              <w:jc w:val="both"/>
            </w:pPr>
            <w:r w:rsidRPr="00704833">
              <w:t xml:space="preserve">Попередні щоквартальні </w:t>
            </w:r>
            <w:r w:rsidR="00074392" w:rsidRPr="00704833">
              <w:t xml:space="preserve">та річні </w:t>
            </w:r>
            <w:r w:rsidRPr="00704833">
              <w:t>дані поширюються на 45-й день після закінчення звітного періоду</w:t>
            </w:r>
            <w:r w:rsidR="00393C9D" w:rsidRPr="00704833">
              <w:t xml:space="preserve"> (до </w:t>
            </w:r>
            <w:r w:rsidR="00A64AC9">
              <w:rPr>
                <w:lang w:val="en-US"/>
              </w:rPr>
              <w:t xml:space="preserve">I </w:t>
            </w:r>
            <w:r w:rsidR="00A64AC9">
              <w:t xml:space="preserve">кварталу </w:t>
            </w:r>
            <w:r w:rsidR="00393C9D" w:rsidRPr="00704833">
              <w:t xml:space="preserve">2022 року). </w:t>
            </w:r>
          </w:p>
          <w:p w:rsidR="00B62E14" w:rsidRPr="00704833" w:rsidRDefault="00393C9D" w:rsidP="00B62E14">
            <w:pPr>
              <w:ind w:firstLine="431"/>
              <w:jc w:val="both"/>
            </w:pPr>
            <w:r w:rsidRPr="00704833">
              <w:t xml:space="preserve">Кількість днів з останнього дня звітного періоду до дня поширення </w:t>
            </w:r>
            <w:r w:rsidR="00074392" w:rsidRPr="00704833">
              <w:t xml:space="preserve">попередніх </w:t>
            </w:r>
            <w:r w:rsidRPr="00704833">
              <w:t>результатів</w:t>
            </w:r>
            <w:r w:rsidR="00074392" w:rsidRPr="00704833">
              <w:t xml:space="preserve">ДСС за </w:t>
            </w:r>
            <w:r w:rsidR="006A5422" w:rsidRPr="00704833">
              <w:t>квартал</w:t>
            </w:r>
            <w:r w:rsidR="00074392" w:rsidRPr="00704833">
              <w:t xml:space="preserve"> та рік </w:t>
            </w:r>
            <w:r w:rsidRPr="00704833">
              <w:t xml:space="preserve">становить </w:t>
            </w:r>
            <w:r w:rsidR="00A64AC9">
              <w:t xml:space="preserve">         </w:t>
            </w:r>
            <w:r w:rsidRPr="00704833">
              <w:lastRenderedPageBreak/>
              <w:t>35 днів</w:t>
            </w:r>
            <w:r w:rsidR="00525611" w:rsidRPr="00704833">
              <w:t>:</w:t>
            </w:r>
          </w:p>
          <w:p w:rsidR="001C540B" w:rsidRPr="00704833" w:rsidRDefault="001C540B" w:rsidP="00B62E14">
            <w:pPr>
              <w:ind w:firstLine="430"/>
              <w:jc w:val="both"/>
            </w:pPr>
            <w:r w:rsidRPr="00704833">
              <w:t>ТР2 = 135 – 100 = 35 днів.</w:t>
            </w:r>
          </w:p>
          <w:p w:rsidR="00D31530" w:rsidRPr="00704833" w:rsidRDefault="00D31530" w:rsidP="00D31530">
            <w:pPr>
              <w:ind w:firstLine="430"/>
              <w:jc w:val="both"/>
            </w:pPr>
            <w:r w:rsidRPr="00704833">
              <w:t>В умовах дії воєнного стану попередні квартальні дані у 2022 та 2023 роках не оприлюднювалися</w:t>
            </w:r>
            <w:r w:rsidR="00074392" w:rsidRPr="00704833">
              <w:t>. Попередні річні дані за 2022 та 2023 роки були розміщені на сайті 20.02.2023 та 23.09.2024 відповідно.</w:t>
            </w:r>
          </w:p>
          <w:p w:rsidR="00B62E14" w:rsidRPr="00704833" w:rsidRDefault="00B62E14" w:rsidP="00B62E14">
            <w:pPr>
              <w:ind w:firstLine="430"/>
              <w:jc w:val="both"/>
            </w:pPr>
            <w:r w:rsidRPr="00704833">
              <w:t xml:space="preserve">Поширення </w:t>
            </w:r>
            <w:r w:rsidR="00074392" w:rsidRPr="00704833">
              <w:t xml:space="preserve">остаточних </w:t>
            </w:r>
            <w:r w:rsidRPr="00704833">
              <w:t>річних та квартальних</w:t>
            </w:r>
            <w:r w:rsidR="00A64AC9">
              <w:t xml:space="preserve"> </w:t>
            </w:r>
            <w:r w:rsidRPr="00704833">
              <w:t>даних здійснюється не пізніше ніж через шість місяців після звітного періоду</w:t>
            </w:r>
            <w:r w:rsidR="00A64AC9">
              <w:t xml:space="preserve">                                  </w:t>
            </w:r>
            <w:r w:rsidR="00393C9D" w:rsidRPr="00704833">
              <w:t xml:space="preserve">(до </w:t>
            </w:r>
            <w:r w:rsidR="00A64AC9">
              <w:rPr>
                <w:lang w:val="en-US"/>
              </w:rPr>
              <w:t xml:space="preserve">I </w:t>
            </w:r>
            <w:r w:rsidR="00A64AC9">
              <w:t xml:space="preserve">кварталу </w:t>
            </w:r>
            <w:r w:rsidR="00393C9D" w:rsidRPr="00704833">
              <w:t>2022 року)</w:t>
            </w:r>
            <w:r w:rsidRPr="00704833">
              <w:t xml:space="preserve">: </w:t>
            </w:r>
          </w:p>
          <w:p w:rsidR="00B62E14" w:rsidRPr="00704833" w:rsidRDefault="00B62E14" w:rsidP="00C51CFA">
            <w:pPr>
              <w:ind w:left="321" w:firstLine="430"/>
              <w:jc w:val="both"/>
            </w:pPr>
            <w:r w:rsidRPr="00704833">
              <w:t>ТР2 = 2</w:t>
            </w:r>
            <w:r w:rsidR="00C51CFA" w:rsidRPr="00704833">
              <w:t>42</w:t>
            </w:r>
            <w:r w:rsidRPr="00704833">
              <w:t xml:space="preserve"> – </w:t>
            </w:r>
            <w:r w:rsidR="00C51CFA" w:rsidRPr="00704833">
              <w:t>100</w:t>
            </w:r>
            <w:r w:rsidRPr="00704833">
              <w:t xml:space="preserve"> = </w:t>
            </w:r>
            <w:r w:rsidR="00C51CFA" w:rsidRPr="00704833">
              <w:t>142</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rPr>
                <w:color w:val="FF0000"/>
              </w:rPr>
            </w:pPr>
            <w:r w:rsidRPr="00704833">
              <w:lastRenderedPageBreak/>
              <w:t>S.14.1.1. Тривалість часу до оприлюднення попередніх результатів ДСС (TP1)</w:t>
            </w:r>
          </w:p>
        </w:tc>
        <w:tc>
          <w:tcPr>
            <w:tcW w:w="8647" w:type="dxa"/>
            <w:shd w:val="clear" w:color="auto" w:fill="auto"/>
          </w:tcPr>
          <w:p w:rsidR="00B62E14" w:rsidRPr="00704833" w:rsidRDefault="00B62E14" w:rsidP="00B62E14">
            <w:pPr>
              <w:ind w:firstLine="431"/>
              <w:jc w:val="both"/>
            </w:pPr>
            <w:r w:rsidRPr="00704833">
              <w:t>За результатами ДСС поширюються попередні та остаточні дані.</w:t>
            </w:r>
          </w:p>
          <w:p w:rsidR="00C64B8B" w:rsidRPr="00704833" w:rsidRDefault="00B62E14" w:rsidP="00C64B8B">
            <w:pPr>
              <w:ind w:firstLine="431"/>
              <w:jc w:val="both"/>
            </w:pPr>
            <w:r w:rsidRPr="00704833">
              <w:t xml:space="preserve">Попередні щоквартальні </w:t>
            </w:r>
            <w:r w:rsidR="00257C58" w:rsidRPr="00704833">
              <w:t xml:space="preserve">та річні </w:t>
            </w:r>
            <w:r w:rsidRPr="00704833">
              <w:t>дані поширюються на 45-й день пі</w:t>
            </w:r>
            <w:r w:rsidR="00C51CFA" w:rsidRPr="00704833">
              <w:t>сля закінчення звітного періоду</w:t>
            </w:r>
            <w:r w:rsidR="00114D62" w:rsidRPr="00704833">
              <w:t>,</w:t>
            </w:r>
            <w:r w:rsidR="00C51CFA" w:rsidRPr="00704833">
              <w:t>остаточн</w:t>
            </w:r>
            <w:r w:rsidR="00114D62" w:rsidRPr="00704833">
              <w:t>і</w:t>
            </w:r>
            <w:r w:rsidR="00C51CFA" w:rsidRPr="00704833">
              <w:t xml:space="preserve"> річн</w:t>
            </w:r>
            <w:r w:rsidR="00114D62" w:rsidRPr="00704833">
              <w:t>і</w:t>
            </w:r>
            <w:r w:rsidR="00C51CFA" w:rsidRPr="00704833">
              <w:t xml:space="preserve"> та квартальн</w:t>
            </w:r>
            <w:r w:rsidR="00114D62" w:rsidRPr="00704833">
              <w:t>і</w:t>
            </w:r>
            <w:r w:rsidR="00C51CFA" w:rsidRPr="00704833">
              <w:t xml:space="preserve"> дан</w:t>
            </w:r>
            <w:r w:rsidR="00114D62" w:rsidRPr="00704833">
              <w:t xml:space="preserve">і– </w:t>
            </w:r>
            <w:r w:rsidR="00C51CFA" w:rsidRPr="00704833">
              <w:t>не пізніше ніж через шість місяців після звітного періоду</w:t>
            </w:r>
            <w:r w:rsidR="00114D62" w:rsidRPr="00704833">
              <w:t xml:space="preserve"> (не пізніше 31 травня)</w:t>
            </w:r>
            <w:r w:rsidR="00C64B8B" w:rsidRPr="00704833">
              <w:t>:</w:t>
            </w:r>
          </w:p>
          <w:p w:rsidR="00B62E14" w:rsidRPr="00704833" w:rsidRDefault="00B62E14" w:rsidP="00C64B8B">
            <w:pPr>
              <w:ind w:firstLine="431"/>
              <w:jc w:val="both"/>
            </w:pPr>
            <w:r w:rsidRPr="00704833">
              <w:t xml:space="preserve">ТР1 = </w:t>
            </w:r>
            <w:r w:rsidR="00C64B8B" w:rsidRPr="00704833">
              <w:t>242</w:t>
            </w:r>
            <w:r w:rsidRPr="00704833">
              <w:t xml:space="preserve"> – </w:t>
            </w:r>
            <w:r w:rsidR="00C64B8B" w:rsidRPr="00704833">
              <w:t>135</w:t>
            </w:r>
            <w:r w:rsidRPr="00704833">
              <w:t xml:space="preserve"> = </w:t>
            </w:r>
            <w:r w:rsidR="00CE3548" w:rsidRPr="00704833">
              <w:t>1</w:t>
            </w:r>
            <w:r w:rsidR="00C64B8B" w:rsidRPr="00704833">
              <w:t>0</w:t>
            </w:r>
            <w:r w:rsidR="00CE3548" w:rsidRPr="00704833">
              <w:t>7</w:t>
            </w:r>
            <w:r w:rsidRPr="00704833">
              <w:t>.</w:t>
            </w:r>
          </w:p>
          <w:p w:rsidR="00C51CFA" w:rsidRPr="00704833" w:rsidRDefault="00C51CFA" w:rsidP="00B62E14">
            <w:pPr>
              <w:tabs>
                <w:tab w:val="left" w:pos="37"/>
              </w:tabs>
              <w:ind w:left="37" w:firstLine="431"/>
              <w:jc w:val="both"/>
            </w:pPr>
          </w:p>
          <w:p w:rsidR="00C64B8B" w:rsidRPr="00704833" w:rsidRDefault="00C51CFA" w:rsidP="00B62E14">
            <w:pPr>
              <w:tabs>
                <w:tab w:val="left" w:pos="37"/>
              </w:tabs>
              <w:ind w:left="37" w:firstLine="431"/>
              <w:jc w:val="both"/>
            </w:pPr>
            <w:r w:rsidRPr="00704833">
              <w:t>За 2023 рік (в умовах дії воєнного стану) попередні дані оприлюднен</w:t>
            </w:r>
            <w:r w:rsidR="004F7042" w:rsidRPr="00704833">
              <w:t>і</w:t>
            </w:r>
            <w:r w:rsidRPr="00704833">
              <w:t xml:space="preserve"> на </w:t>
            </w:r>
            <w:r w:rsidR="00C64B8B" w:rsidRPr="00704833">
              <w:t>267</w:t>
            </w:r>
            <w:r w:rsidRPr="00704833">
              <w:t>-й день після звітного періоду, остаточні дані – н</w:t>
            </w:r>
            <w:r w:rsidR="00C64B8B" w:rsidRPr="00704833">
              <w:t>еоприлюднен</w:t>
            </w:r>
            <w:r w:rsidR="004F7042" w:rsidRPr="00704833">
              <w:t>і</w:t>
            </w:r>
            <w:r w:rsidRPr="00704833">
              <w:t xml:space="preserve">. </w:t>
            </w:r>
          </w:p>
          <w:p w:rsidR="00257C58" w:rsidRPr="00704833" w:rsidRDefault="00C51CFA" w:rsidP="00B62E14">
            <w:pPr>
              <w:tabs>
                <w:tab w:val="left" w:pos="37"/>
              </w:tabs>
              <w:ind w:left="37" w:firstLine="431"/>
              <w:jc w:val="both"/>
            </w:pPr>
            <w:r w:rsidRPr="00704833">
              <w:t>За 2021 рік попередні дані оприлюднен</w:t>
            </w:r>
            <w:r w:rsidR="004F7042" w:rsidRPr="00704833">
              <w:t>і</w:t>
            </w:r>
            <w:r w:rsidRPr="00704833">
              <w:t xml:space="preserve"> на </w:t>
            </w:r>
            <w:r w:rsidR="00C64B8B" w:rsidRPr="00704833">
              <w:t>4</w:t>
            </w:r>
            <w:r w:rsidRPr="00704833">
              <w:t xml:space="preserve">5-й день після звітного періоду, остаточні дані – на </w:t>
            </w:r>
            <w:r w:rsidR="00C64B8B" w:rsidRPr="00704833">
              <w:t>152</w:t>
            </w:r>
            <w:r w:rsidRPr="00704833">
              <w:t xml:space="preserve">-й день після звітного періоду. Тривалість часу між термінами поширення попередніх та остаточних даних становила </w:t>
            </w:r>
            <w:r w:rsidR="00257C58" w:rsidRPr="00704833">
              <w:t>107</w:t>
            </w:r>
            <w:r w:rsidRPr="00704833">
              <w:t xml:space="preserve"> дн</w:t>
            </w:r>
            <w:r w:rsidR="00257C58" w:rsidRPr="00704833">
              <w:t>ів</w:t>
            </w:r>
            <w:r w:rsidRPr="00704833">
              <w:t>.</w:t>
            </w:r>
          </w:p>
          <w:p w:rsidR="00B62E14" w:rsidRPr="00704833" w:rsidRDefault="00C51CFA" w:rsidP="00257C58">
            <w:pPr>
              <w:tabs>
                <w:tab w:val="left" w:pos="37"/>
              </w:tabs>
              <w:ind w:left="37" w:firstLine="431"/>
              <w:jc w:val="both"/>
              <w:rPr>
                <w:color w:val="FF0000"/>
              </w:rPr>
            </w:pPr>
            <w:r w:rsidRPr="00704833">
              <w:t>ТР1</w:t>
            </w:r>
            <w:r w:rsidRPr="00704833">
              <w:rPr>
                <w:vertAlign w:val="subscript"/>
              </w:rPr>
              <w:t>2</w:t>
            </w:r>
            <w:r w:rsidRPr="00704833">
              <w:t xml:space="preserve"> = </w:t>
            </w:r>
            <w:r w:rsidR="00257C58" w:rsidRPr="00704833">
              <w:t xml:space="preserve">242 </w:t>
            </w:r>
            <w:r w:rsidRPr="00704833">
              <w:t>–</w:t>
            </w:r>
            <w:r w:rsidR="00257C58" w:rsidRPr="00704833">
              <w:t xml:space="preserve"> 135</w:t>
            </w:r>
            <w:r w:rsidRPr="00704833">
              <w:t xml:space="preserve"> = </w:t>
            </w:r>
            <w:r w:rsidR="00257C58" w:rsidRPr="00704833">
              <w:t>107 днів.</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S.14.1.2. Тривалість часу до оприлюднення остаточних результатів ДСС (TP2)</w:t>
            </w:r>
          </w:p>
        </w:tc>
        <w:tc>
          <w:tcPr>
            <w:tcW w:w="8647" w:type="dxa"/>
            <w:shd w:val="clear" w:color="auto" w:fill="auto"/>
          </w:tcPr>
          <w:p w:rsidR="00CD0A3C" w:rsidRPr="00704833" w:rsidRDefault="00CD0A3C" w:rsidP="004F7042">
            <w:pPr>
              <w:ind w:firstLine="430"/>
              <w:jc w:val="both"/>
              <w:rPr>
                <w:color w:val="FF0000"/>
              </w:rPr>
            </w:pPr>
            <w:r w:rsidRPr="00095E89">
              <w:t>Інформація описана у пункті S.14.1.</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 xml:space="preserve">S.14.2. Пунктуальність і оприлюднення </w:t>
            </w:r>
            <w:r w:rsidRPr="00704833">
              <w:lastRenderedPageBreak/>
              <w:t>(TP3(U))</w:t>
            </w:r>
          </w:p>
        </w:tc>
        <w:tc>
          <w:tcPr>
            <w:tcW w:w="8647" w:type="dxa"/>
            <w:shd w:val="clear" w:color="auto" w:fill="auto"/>
          </w:tcPr>
          <w:p w:rsidR="00CD0A3C" w:rsidRPr="00704833" w:rsidRDefault="00B62E14" w:rsidP="00F71191">
            <w:pPr>
              <w:ind w:firstLine="430"/>
              <w:jc w:val="both"/>
            </w:pPr>
            <w:r w:rsidRPr="00704833">
              <w:lastRenderedPageBreak/>
              <w:t xml:space="preserve">Інформація за результатами ДСС до </w:t>
            </w:r>
            <w:r w:rsidR="00A64AC9">
              <w:rPr>
                <w:lang w:val="en-US"/>
              </w:rPr>
              <w:t xml:space="preserve">I </w:t>
            </w:r>
            <w:r w:rsidR="00A64AC9">
              <w:t xml:space="preserve">кварталу </w:t>
            </w:r>
            <w:r w:rsidRPr="00704833">
              <w:t xml:space="preserve">2022 року </w:t>
            </w:r>
            <w:r w:rsidRPr="00704833">
              <w:lastRenderedPageBreak/>
              <w:t>оприлюднювалась в заплановані терміни, випадків порушення термінів оприлюднення статистичних продуктів не було. Відсоток оприлюднень, здійснених вчасно, відповідно до календаря оприлюднення інформації складав 100% (TP3</w:t>
            </w:r>
            <w:r w:rsidR="00A64AC9">
              <w:t xml:space="preserve"> </w:t>
            </w:r>
            <w:r w:rsidRPr="00704833">
              <w:t>(U)=1).</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lastRenderedPageBreak/>
              <w:t>S.14.2.1. Пунктуальність і оприлюднення (TP3(Р))</w:t>
            </w:r>
          </w:p>
        </w:tc>
        <w:tc>
          <w:tcPr>
            <w:tcW w:w="8647" w:type="dxa"/>
            <w:shd w:val="clear" w:color="auto" w:fill="auto"/>
          </w:tcPr>
          <w:p w:rsidR="00B62E14" w:rsidRPr="00704833" w:rsidRDefault="00B62E14" w:rsidP="00B62E14">
            <w:pPr>
              <w:pStyle w:val="Default"/>
              <w:ind w:firstLine="598"/>
              <w:jc w:val="both"/>
              <w:rPr>
                <w:sz w:val="28"/>
                <w:szCs w:val="28"/>
              </w:rPr>
            </w:pPr>
            <w:r w:rsidRPr="00704833">
              <w:rPr>
                <w:sz w:val="28"/>
                <w:szCs w:val="28"/>
              </w:rPr>
              <w:t xml:space="preserve">Календар оприлюднення інформації за цим ДСС </w:t>
            </w:r>
            <w:r w:rsidRPr="005B69F0">
              <w:rPr>
                <w:color w:val="auto"/>
                <w:sz w:val="28"/>
                <w:szCs w:val="28"/>
              </w:rPr>
              <w:t xml:space="preserve">до </w:t>
            </w:r>
            <w:r w:rsidR="005B69F0" w:rsidRPr="005B69F0">
              <w:rPr>
                <w:color w:val="auto"/>
                <w:sz w:val="28"/>
                <w:szCs w:val="28"/>
              </w:rPr>
              <w:t>І кварталу</w:t>
            </w:r>
            <w:r w:rsidRPr="00704833">
              <w:rPr>
                <w:sz w:val="28"/>
                <w:szCs w:val="28"/>
              </w:rPr>
              <w:t xml:space="preserve"> 2022 року жодного разу не порушувався. </w:t>
            </w:r>
          </w:p>
          <w:p w:rsidR="00B62E14" w:rsidRPr="00704833" w:rsidRDefault="00B62E14" w:rsidP="00B62E14">
            <w:pPr>
              <w:widowControl w:val="0"/>
              <w:autoSpaceDE w:val="0"/>
              <w:autoSpaceDN w:val="0"/>
              <w:adjustRightInd w:val="0"/>
              <w:ind w:firstLine="598"/>
              <w:jc w:val="both"/>
            </w:pPr>
            <w:r w:rsidRPr="00704833">
              <w:t>ТР3</w:t>
            </w:r>
            <w:r w:rsidRPr="00704833">
              <w:rPr>
                <w:vertAlign w:val="subscript"/>
              </w:rPr>
              <w:t>1</w:t>
            </w:r>
            <w:r w:rsidRPr="00704833">
              <w:t xml:space="preserve"> (Р) = 0.</w:t>
            </w:r>
          </w:p>
          <w:p w:rsidR="00931E3B" w:rsidRPr="00704833" w:rsidRDefault="00B62E14" w:rsidP="00B62E14">
            <w:pPr>
              <w:pStyle w:val="Default"/>
              <w:ind w:firstLine="598"/>
              <w:jc w:val="both"/>
              <w:rPr>
                <w:color w:val="auto"/>
                <w:sz w:val="28"/>
                <w:szCs w:val="28"/>
              </w:rPr>
            </w:pPr>
            <w:r w:rsidRPr="00704833">
              <w:rPr>
                <w:color w:val="auto"/>
                <w:sz w:val="28"/>
                <w:szCs w:val="28"/>
              </w:rPr>
              <w:t>В умовах дії воєнного стануінформація поширюється із запізненням і не в повному обсязі</w:t>
            </w:r>
            <w:r w:rsidR="00931E3B" w:rsidRPr="00704833">
              <w:rPr>
                <w:color w:val="auto"/>
                <w:sz w:val="28"/>
                <w:szCs w:val="28"/>
              </w:rPr>
              <w:t>.</w:t>
            </w:r>
          </w:p>
          <w:p w:rsidR="00931E3B" w:rsidRPr="00704833" w:rsidRDefault="00931E3B" w:rsidP="00931E3B">
            <w:pPr>
              <w:pStyle w:val="Default"/>
              <w:ind w:firstLine="598"/>
              <w:jc w:val="both"/>
              <w:rPr>
                <w:color w:val="auto"/>
                <w:sz w:val="28"/>
                <w:szCs w:val="28"/>
              </w:rPr>
            </w:pPr>
            <w:r w:rsidRPr="00704833">
              <w:rPr>
                <w:color w:val="auto"/>
                <w:sz w:val="28"/>
                <w:szCs w:val="28"/>
              </w:rPr>
              <w:t xml:space="preserve">Попередня інформація щодо обсягів </w:t>
            </w:r>
            <w:r w:rsidRPr="00704833">
              <w:rPr>
                <w:sz w:val="26"/>
                <w:szCs w:val="26"/>
              </w:rPr>
              <w:t xml:space="preserve">експорту та імпорту послуг за видами послуг, </w:t>
            </w:r>
            <w:r w:rsidRPr="00704833">
              <w:rPr>
                <w:iCs/>
                <w:sz w:val="26"/>
                <w:szCs w:val="26"/>
              </w:rPr>
              <w:t>регіонами, за видами послуг по угрупованню «країни ЄС».</w:t>
            </w:r>
          </w:p>
          <w:p w:rsidR="00B62E14" w:rsidRPr="00704833" w:rsidRDefault="00931E3B" w:rsidP="00B62E14">
            <w:pPr>
              <w:pStyle w:val="Default"/>
              <w:ind w:firstLine="598"/>
              <w:jc w:val="both"/>
              <w:rPr>
                <w:color w:val="auto"/>
                <w:sz w:val="28"/>
                <w:szCs w:val="28"/>
              </w:rPr>
            </w:pPr>
            <w:r w:rsidRPr="00704833">
              <w:rPr>
                <w:color w:val="auto"/>
                <w:sz w:val="28"/>
                <w:szCs w:val="28"/>
              </w:rPr>
              <w:t>за 2023 рік</w:t>
            </w:r>
          </w:p>
          <w:p w:rsidR="00B62E14" w:rsidRPr="00704833" w:rsidRDefault="00B62E14" w:rsidP="003C0C7D">
            <w:pPr>
              <w:widowControl w:val="0"/>
              <w:autoSpaceDE w:val="0"/>
              <w:autoSpaceDN w:val="0"/>
              <w:adjustRightInd w:val="0"/>
              <w:ind w:firstLine="430"/>
              <w:jc w:val="both"/>
            </w:pPr>
            <w:r w:rsidRPr="00704833">
              <w:t>TP3</w:t>
            </w:r>
            <w:r w:rsidRPr="00704833">
              <w:rPr>
                <w:vertAlign w:val="subscript"/>
              </w:rPr>
              <w:t>2</w:t>
            </w:r>
            <w:r w:rsidRPr="00704833">
              <w:t xml:space="preserve"> (Р)</w:t>
            </w:r>
            <w:r w:rsidR="00A64AC9">
              <w:t xml:space="preserve"> </w:t>
            </w:r>
            <w:r w:rsidRPr="00704833">
              <w:t>=</w:t>
            </w:r>
            <w:r w:rsidR="00A64AC9">
              <w:t xml:space="preserve"> </w:t>
            </w:r>
            <w:r w:rsidR="003C0C7D" w:rsidRPr="00704833">
              <w:t xml:space="preserve">267 </w:t>
            </w:r>
            <w:r w:rsidRPr="00704833">
              <w:t>–</w:t>
            </w:r>
            <w:r w:rsidR="003C0C7D" w:rsidRPr="00704833">
              <w:t xml:space="preserve"> 51 </w:t>
            </w:r>
            <w:r w:rsidRPr="00704833">
              <w:t>=</w:t>
            </w:r>
            <w:r w:rsidR="003C0C7D" w:rsidRPr="00704833">
              <w:t xml:space="preserve"> 216</w:t>
            </w:r>
            <w:r w:rsidRPr="00704833">
              <w:t xml:space="preserve"> (кількість днів між фактичною датою передачі для оприлюднення даних (23</w:t>
            </w:r>
            <w:r w:rsidR="00A64AC9">
              <w:t xml:space="preserve"> </w:t>
            </w:r>
            <w:r w:rsidRPr="00704833">
              <w:t>вересня 2024 року) і датою, запланованою для надання для оприлюднення в календарі (20</w:t>
            </w:r>
            <w:r w:rsidR="00A64AC9">
              <w:t xml:space="preserve"> </w:t>
            </w:r>
            <w:r w:rsidRPr="00704833">
              <w:t>лютого 2024 року)).</w:t>
            </w:r>
          </w:p>
        </w:tc>
      </w:tr>
      <w:tr w:rsidR="00B62E14" w:rsidRPr="00704833" w:rsidTr="006023BA">
        <w:tc>
          <w:tcPr>
            <w:tcW w:w="14459" w:type="dxa"/>
            <w:gridSpan w:val="2"/>
            <w:shd w:val="clear" w:color="auto" w:fill="auto"/>
          </w:tcPr>
          <w:p w:rsidR="00B62E14" w:rsidRPr="00704833" w:rsidRDefault="00B62E14" w:rsidP="00B62E14">
            <w:pPr>
              <w:widowControl w:val="0"/>
              <w:autoSpaceDE w:val="0"/>
              <w:autoSpaceDN w:val="0"/>
              <w:adjustRightInd w:val="0"/>
              <w:rPr>
                <w:highlight w:val="lightGray"/>
              </w:rPr>
            </w:pPr>
            <w:r w:rsidRPr="00704833">
              <w:t xml:space="preserve">S.15. Узгодженість і порівнянність  </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 xml:space="preserve">S.15.1. </w:t>
            </w:r>
            <w:r w:rsidRPr="00704833">
              <w:rPr>
                <w:szCs w:val="20"/>
                <w:lang w:eastAsia="ru-RU"/>
              </w:rPr>
              <w:t>Узгодженість</w:t>
            </w:r>
            <w:r w:rsidRPr="00704833">
              <w:t xml:space="preserve"> ‒ географічна</w:t>
            </w:r>
          </w:p>
        </w:tc>
        <w:tc>
          <w:tcPr>
            <w:tcW w:w="8647" w:type="dxa"/>
            <w:shd w:val="clear" w:color="auto" w:fill="auto"/>
          </w:tcPr>
          <w:p w:rsidR="00B62E14" w:rsidRPr="00704833" w:rsidRDefault="00B62E14" w:rsidP="00B62E14">
            <w:pPr>
              <w:ind w:firstLine="430"/>
              <w:jc w:val="both"/>
              <w:rPr>
                <w:rStyle w:val="jlqj4b"/>
              </w:rPr>
            </w:pPr>
            <w:bookmarkStart w:id="3" w:name="_Hlk156306859"/>
            <w:r w:rsidRPr="00704833">
              <w:rPr>
                <w:rStyle w:val="jlqj4b"/>
              </w:rPr>
              <w:t>Результати ДСС, які за період 1996–2021 роки формувались за географічними розрізами: регіони України, країни світу.</w:t>
            </w:r>
          </w:p>
          <w:p w:rsidR="00B62E14" w:rsidRPr="00704833" w:rsidRDefault="00B62E14" w:rsidP="00B62E14">
            <w:pPr>
              <w:ind w:firstLine="430"/>
              <w:jc w:val="both"/>
              <w:rPr>
                <w:rStyle w:val="jlqj4b"/>
              </w:rPr>
            </w:pPr>
            <w:r w:rsidRPr="00704833">
              <w:rPr>
                <w:rStyle w:val="jlqj4b"/>
              </w:rPr>
              <w:t xml:space="preserve">Формування показників ДСС за географічним розрізом – за країнами світу, угрупованням ЄС, відповідають рекомендаціям </w:t>
            </w:r>
            <w:r w:rsidRPr="00704833">
              <w:t xml:space="preserve">Регламентів (ЄС) № 184/2005 від 12 січня 2005 року та </w:t>
            </w:r>
            <w:r w:rsidRPr="00704833">
              <w:rPr>
                <w:rStyle w:val="jlqj4b"/>
              </w:rPr>
              <w:t xml:space="preserve">№ 555/2012 </w:t>
            </w:r>
            <w:r w:rsidRPr="00704833">
              <w:t xml:space="preserve">від 22 червня 2012 року </w:t>
            </w:r>
            <w:r w:rsidRPr="00704833">
              <w:rPr>
                <w:rStyle w:val="jlqj4b"/>
              </w:rPr>
              <w:t>у частині показників щодо зовнішньої торгівлі послугами.</w:t>
            </w:r>
          </w:p>
          <w:p w:rsidR="00B62E14" w:rsidRPr="00704833" w:rsidRDefault="00B62E14" w:rsidP="00B62E14">
            <w:pPr>
              <w:ind w:firstLine="430"/>
              <w:jc w:val="both"/>
            </w:pPr>
            <w:bookmarkStart w:id="4" w:name="_Hlk156310204"/>
            <w:r w:rsidRPr="00704833">
              <w:t xml:space="preserve">У 2014 році здійснено також ретроспективні перерахунки інформації за 2010–2013 роки без тимчасово окупованої території Автономної Республіки Крим і м. Севастополя. Крім того, результати спостереження за2014 та 2015 роки сформованітакож без частини </w:t>
            </w:r>
            <w:r w:rsidRPr="00704833">
              <w:lastRenderedPageBreak/>
              <w:t>тимчасово окупованих територій у Донецькій та Луганській областях.</w:t>
            </w:r>
          </w:p>
          <w:bookmarkEnd w:id="3"/>
          <w:bookmarkEnd w:id="4"/>
          <w:p w:rsidR="00B62E14" w:rsidRPr="00704833" w:rsidRDefault="00B62E14" w:rsidP="00B62E14">
            <w:pPr>
              <w:ind w:firstLine="430"/>
              <w:jc w:val="both"/>
            </w:pPr>
            <w:r w:rsidRPr="00704833">
              <w:t>Відповідно до Програми розвитку державної статистики до 2023 року, у 2022 році здійснено перерахунок послуг з фінансового посередництва, що обчислюються непрямим шляхом та відповідно загальних обсягів зовнішньої торгівлі послугами за 2017–2021 роки (без розподілу за географічною структурою).</w:t>
            </w:r>
          </w:p>
          <w:p w:rsidR="00B62E14" w:rsidRPr="00704833" w:rsidRDefault="00B62E14" w:rsidP="00B62E14">
            <w:pPr>
              <w:ind w:firstLine="430"/>
              <w:jc w:val="both"/>
            </w:pPr>
            <w:r w:rsidRPr="00704833">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w:t>
            </w:r>
            <w:r w:rsidR="009A5E0E">
              <w:t xml:space="preserve">еження, </w:t>
            </w:r>
            <w:r w:rsidRPr="00704833">
              <w:t>географічного охоплення, методів збору та обробки даних.</w:t>
            </w:r>
          </w:p>
          <w:p w:rsidR="00B62E14" w:rsidRPr="00704833" w:rsidRDefault="00B62E14" w:rsidP="00B62E14">
            <w:pPr>
              <w:ind w:firstLine="430"/>
              <w:jc w:val="both"/>
              <w:rPr>
                <w:highlight w:val="cyan"/>
              </w:rPr>
            </w:pPr>
            <w:r w:rsidRPr="00704833">
              <w:t>Зважаючи на зазначене, показники спостереження за певний обраний період можна порівнювати, зокрема за регіонами та країнами.</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lastRenderedPageBreak/>
              <w:t>S.15.1.1. Розмір асиметрії для дзеркальної статистики  (CC1)</w:t>
            </w:r>
          </w:p>
        </w:tc>
        <w:tc>
          <w:tcPr>
            <w:tcW w:w="8647" w:type="dxa"/>
            <w:shd w:val="clear" w:color="auto" w:fill="auto"/>
          </w:tcPr>
          <w:p w:rsidR="00B62E14" w:rsidRPr="00704833" w:rsidRDefault="00B62E14" w:rsidP="009A5E0E">
            <w:pPr>
              <w:ind w:firstLine="430"/>
              <w:jc w:val="both"/>
            </w:pPr>
            <w:r w:rsidRPr="00704833">
              <w:rPr>
                <w:rStyle w:val="jlqj4b"/>
              </w:rPr>
              <w:t xml:space="preserve">Не </w:t>
            </w:r>
            <w:r w:rsidR="009A5E0E">
              <w:rPr>
                <w:rStyle w:val="jlqj4b"/>
              </w:rPr>
              <w:t xml:space="preserve">застосовується, оскільки Методологічними положеннями не передбачено </w:t>
            </w:r>
            <w:r w:rsidRPr="00704833">
              <w:t>вимірюваних дзеркальних потоків щодо статистичних даних</w:t>
            </w:r>
            <w:r w:rsidR="009A5E0E">
              <w:t xml:space="preserve"> ДСС</w:t>
            </w:r>
            <w:r w:rsidRPr="00704833">
              <w:t>.</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S.15.2. Порівнянність ‒ у часі. Довжина порівнюваних часових рядів (CC2(U))</w:t>
            </w:r>
          </w:p>
        </w:tc>
        <w:tc>
          <w:tcPr>
            <w:tcW w:w="8647" w:type="dxa"/>
            <w:shd w:val="clear" w:color="auto" w:fill="auto"/>
          </w:tcPr>
          <w:p w:rsidR="00B62E14" w:rsidRPr="00704833" w:rsidRDefault="00B62E14" w:rsidP="00B62E14">
            <w:pPr>
              <w:ind w:firstLine="459"/>
              <w:jc w:val="both"/>
            </w:pPr>
            <w:bookmarkStart w:id="5" w:name="_Hlk156306536"/>
            <w:r w:rsidRPr="00704833">
              <w:t>ДСС проводиться з 1996 року.</w:t>
            </w:r>
          </w:p>
          <w:p w:rsidR="00B62E14" w:rsidRDefault="00B62E14" w:rsidP="00B62E14">
            <w:pPr>
              <w:ind w:firstLine="459"/>
              <w:jc w:val="both"/>
            </w:pPr>
            <w:r w:rsidRPr="00704833">
              <w:t>Показники цього спостереження можна порівнювати у динаміці з 1996 року по економіці в цілому за період 1996–2021 роки, а також за певний обраний рік з даними попереднього року в межах певного періоду в залежності від розрізу показника.</w:t>
            </w:r>
            <w:bookmarkEnd w:id="5"/>
          </w:p>
          <w:p w:rsidR="00383598" w:rsidRPr="00704833" w:rsidRDefault="00C234A6" w:rsidP="00B62E14">
            <w:pPr>
              <w:ind w:firstLine="459"/>
              <w:jc w:val="both"/>
            </w:pPr>
            <w:r>
              <w:t>Дані за показниками ДСС за 2022 та 2023 рік є попередніми.</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S.15.2.1. Порівнянність. Довжина порівнюваних часових рядів (CC2 (Р))</w:t>
            </w:r>
          </w:p>
        </w:tc>
        <w:tc>
          <w:tcPr>
            <w:tcW w:w="8647" w:type="dxa"/>
            <w:shd w:val="clear" w:color="auto" w:fill="auto"/>
            <w:vAlign w:val="bottom"/>
          </w:tcPr>
          <w:p w:rsidR="00B62E14" w:rsidRPr="00704833" w:rsidRDefault="00B62E14" w:rsidP="00B62E14">
            <w:pPr>
              <w:ind w:firstLine="459"/>
              <w:jc w:val="both"/>
            </w:pPr>
            <w:bookmarkStart w:id="6" w:name="_Hlk156306776"/>
            <w:r w:rsidRPr="00704833">
              <w:t>Статистичні показники цього спостереження можна порівнювати з даними попереднього року по економіці в цілому за період 1996–2021 роки у тому числі:</w:t>
            </w:r>
          </w:p>
          <w:p w:rsidR="00B62E14" w:rsidRPr="00704833" w:rsidRDefault="00B62E14" w:rsidP="00B62E14">
            <w:pPr>
              <w:ind w:firstLine="459"/>
            </w:pPr>
            <w:r w:rsidRPr="00704833">
              <w:t>за 1996 – 2021 роки – за країнами світу відповідно до Статистичної класифікації країн світу:</w:t>
            </w:r>
          </w:p>
          <w:p w:rsidR="00B62E14" w:rsidRPr="00704833" w:rsidRDefault="00B62E14" w:rsidP="00B62E14">
            <w:pPr>
              <w:ind w:firstLine="743"/>
            </w:pPr>
            <w:r w:rsidRPr="00704833">
              <w:lastRenderedPageBreak/>
              <w:t>СС2</w:t>
            </w:r>
            <w:r w:rsidRPr="00704833">
              <w:rPr>
                <w:vertAlign w:val="subscript"/>
              </w:rPr>
              <w:t>1</w:t>
            </w:r>
            <w:r w:rsidRPr="00704833">
              <w:t xml:space="preserve"> = (2021-1996) +1 = 26;</w:t>
            </w:r>
          </w:p>
          <w:p w:rsidR="00B62E14" w:rsidRPr="00704833" w:rsidRDefault="00B62E14" w:rsidP="00B62E14">
            <w:pPr>
              <w:ind w:firstLine="459"/>
            </w:pPr>
            <w:r w:rsidRPr="00704833">
              <w:t>за 1998–2012 роки – за видами послуг згідно із Класифікацією послуг зовнішньоекономічної діяльності     (КПЗЕД):</w:t>
            </w:r>
          </w:p>
          <w:p w:rsidR="00B62E14" w:rsidRPr="00704833" w:rsidRDefault="00B62E14" w:rsidP="00B62E14">
            <w:pPr>
              <w:ind w:firstLine="742"/>
            </w:pPr>
            <w:r w:rsidRPr="00704833">
              <w:t>СС2</w:t>
            </w:r>
            <w:r w:rsidRPr="00704833">
              <w:rPr>
                <w:vertAlign w:val="subscript"/>
              </w:rPr>
              <w:t>2</w:t>
            </w:r>
            <w:r w:rsidRPr="00704833">
              <w:t xml:space="preserve"> = (2012-1998) +1 = 15;</w:t>
            </w:r>
          </w:p>
          <w:p w:rsidR="00B62E14" w:rsidRPr="00704833" w:rsidRDefault="00B62E14" w:rsidP="00B62E14">
            <w:pPr>
              <w:ind w:firstLine="459"/>
              <w:rPr>
                <w:color w:val="FF0000"/>
              </w:rPr>
            </w:pPr>
            <w:r w:rsidRPr="00704833">
              <w:t>за 2000–2021 роки –  за видами послуг згідно із Класифікацією зовнішньоекономічних послуг (КЗЕП):</w:t>
            </w:r>
          </w:p>
          <w:p w:rsidR="00B62E14" w:rsidRPr="00704833" w:rsidRDefault="00B62E14" w:rsidP="00773B8D">
            <w:pPr>
              <w:ind w:firstLine="742"/>
            </w:pPr>
            <w:r w:rsidRPr="00704833">
              <w:t>СС2</w:t>
            </w:r>
            <w:r w:rsidRPr="00704833">
              <w:rPr>
                <w:vertAlign w:val="subscript"/>
              </w:rPr>
              <w:t>3</w:t>
            </w:r>
            <w:r w:rsidRPr="00704833">
              <w:t xml:space="preserve"> = (2021-2000) +1 = </w:t>
            </w:r>
            <w:bookmarkEnd w:id="6"/>
            <w:r w:rsidRPr="00704833">
              <w:t>22</w:t>
            </w:r>
            <w:r w:rsidR="00773B8D" w:rsidRPr="00704833">
              <w:t>.</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lastRenderedPageBreak/>
              <w:t>S.15.3. Узгодженість ‒ перехресні області</w:t>
            </w:r>
          </w:p>
        </w:tc>
        <w:tc>
          <w:tcPr>
            <w:tcW w:w="8647" w:type="dxa"/>
            <w:shd w:val="clear" w:color="auto" w:fill="auto"/>
          </w:tcPr>
          <w:p w:rsidR="00B62E14" w:rsidRPr="00704833" w:rsidRDefault="00B62E14" w:rsidP="00B62E14">
            <w:pPr>
              <w:widowControl w:val="0"/>
              <w:autoSpaceDE w:val="0"/>
              <w:autoSpaceDN w:val="0"/>
              <w:adjustRightInd w:val="0"/>
              <w:ind w:firstLine="430"/>
              <w:jc w:val="both"/>
              <w:rPr>
                <w:color w:val="FF0000"/>
                <w:highlight w:val="cyan"/>
              </w:rPr>
            </w:pPr>
            <w:proofErr w:type="spellStart"/>
            <w:r w:rsidRPr="00704833">
              <w:t>Співвиробником</w:t>
            </w:r>
            <w:proofErr w:type="spellEnd"/>
            <w:r w:rsidRPr="00704833">
              <w:t xml:space="preserve"> статистичної  інформації щодо окремих категорій зовнішньоекономічних послуг є Національний банк України в частині складання платіжного балансу України. Дані статистики зовнішньої торгівлі послугами, отримані </w:t>
            </w:r>
            <w:proofErr w:type="spellStart"/>
            <w:r w:rsidRPr="00704833">
              <w:t>Держстатом</w:t>
            </w:r>
            <w:proofErr w:type="spellEnd"/>
            <w:r w:rsidRPr="00704833">
              <w:t>, відрізняються від відповідних даних платіжного балансу України у частині окремих видів послуг за рахунок відмінностей у методології, ступеня охоплення та часового охоплення.</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 xml:space="preserve">S.15.3.1. Узгодженість ‒ внутрішньорічна та річна статистика  </w:t>
            </w:r>
          </w:p>
        </w:tc>
        <w:tc>
          <w:tcPr>
            <w:tcW w:w="8647" w:type="dxa"/>
            <w:shd w:val="clear" w:color="auto" w:fill="auto"/>
          </w:tcPr>
          <w:p w:rsidR="00B62E14" w:rsidRPr="00704833" w:rsidRDefault="00B62E14" w:rsidP="00B62E14">
            <w:pPr>
              <w:ind w:left="62" w:firstLine="368"/>
              <w:jc w:val="both"/>
            </w:pPr>
            <w:r w:rsidRPr="00704833">
              <w:t>За цим ДСС квартальні дані та дані, сформовані накопичувальним підсумком, за звітні періоди повністю узгоджуються між собою.</w:t>
            </w:r>
          </w:p>
        </w:tc>
      </w:tr>
      <w:tr w:rsidR="00B62E14" w:rsidRPr="00704833" w:rsidTr="006023BA">
        <w:trPr>
          <w:trHeight w:val="713"/>
        </w:trPr>
        <w:tc>
          <w:tcPr>
            <w:tcW w:w="5812" w:type="dxa"/>
            <w:shd w:val="clear" w:color="auto" w:fill="auto"/>
          </w:tcPr>
          <w:p w:rsidR="00B62E14" w:rsidRPr="00704833" w:rsidRDefault="00B62E14" w:rsidP="00B62E14">
            <w:pPr>
              <w:widowControl w:val="0"/>
              <w:autoSpaceDE w:val="0"/>
              <w:autoSpaceDN w:val="0"/>
              <w:adjustRightInd w:val="0"/>
            </w:pPr>
            <w:r w:rsidRPr="00704833">
              <w:t>S.15.3.2. Узгодженість ‒ національні рахунки</w:t>
            </w:r>
          </w:p>
        </w:tc>
        <w:tc>
          <w:tcPr>
            <w:tcW w:w="8647" w:type="dxa"/>
            <w:shd w:val="clear" w:color="auto" w:fill="auto"/>
          </w:tcPr>
          <w:p w:rsidR="00B62E14" w:rsidRPr="00704833" w:rsidRDefault="00B62E14" w:rsidP="00B62E14">
            <w:pPr>
              <w:ind w:left="62" w:firstLine="368"/>
              <w:jc w:val="both"/>
            </w:pPr>
            <w:r w:rsidRPr="00704833">
              <w:t>Не застосовується, оскільки дані статистичного спостереження не використовуються для статистики національних рахунків. Водночас, статистика національних рахунків використовує показники платіжного балансу, джерелом для якого є дані цього ДСС.</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S.15.4. Узгодженість ‒ внутрішня</w:t>
            </w:r>
          </w:p>
        </w:tc>
        <w:tc>
          <w:tcPr>
            <w:tcW w:w="8647" w:type="dxa"/>
            <w:shd w:val="clear" w:color="auto" w:fill="auto"/>
          </w:tcPr>
          <w:p w:rsidR="00B62E14" w:rsidRPr="00704833" w:rsidRDefault="00B62E14" w:rsidP="00B62E14">
            <w:pPr>
              <w:ind w:firstLine="430"/>
              <w:jc w:val="both"/>
            </w:pPr>
            <w:r w:rsidRPr="00704833">
              <w:t>Результати цього статистичного спостереження внутрішньо узгоджені та є послідовними в часі.</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rPr>
                <w:color w:val="FF0000"/>
              </w:rPr>
            </w:pPr>
            <w:r w:rsidRPr="00704833">
              <w:t>S.16. Витрати та навантаження</w:t>
            </w:r>
          </w:p>
        </w:tc>
        <w:tc>
          <w:tcPr>
            <w:tcW w:w="8647" w:type="dxa"/>
            <w:shd w:val="clear" w:color="auto" w:fill="auto"/>
          </w:tcPr>
          <w:p w:rsidR="009B4F71" w:rsidRPr="00704833" w:rsidRDefault="009B4F71" w:rsidP="005358D2">
            <w:pPr>
              <w:ind w:firstLine="430"/>
              <w:jc w:val="both"/>
            </w:pPr>
            <w:proofErr w:type="spellStart"/>
            <w:r w:rsidRPr="00704833">
              <w:t>Держстат</w:t>
            </w:r>
            <w:proofErr w:type="spellEnd"/>
            <w:r w:rsidRPr="00704833">
              <w:t xml:space="preserve"> здійснює щорічну оцінку звітного навантаження на респондентів на підставі </w:t>
            </w:r>
            <w:r w:rsidR="005358D2" w:rsidRPr="005358D2">
              <w:t>Методики здійснення моніторингу участі респондентів у державних статистичних спостереженнях,</w:t>
            </w:r>
            <w:r w:rsidRPr="00704833">
              <w:t xml:space="preserve"> затвердженої наказом </w:t>
            </w:r>
            <w:proofErr w:type="spellStart"/>
            <w:r w:rsidRPr="00704833">
              <w:t>Держстату</w:t>
            </w:r>
            <w:proofErr w:type="spellEnd"/>
            <w:r w:rsidRPr="00704833">
              <w:t xml:space="preserve"> від 14 травня 2013 року № 149. </w:t>
            </w:r>
          </w:p>
          <w:p w:rsidR="009B4F71" w:rsidRDefault="009B4F71" w:rsidP="009B4F71">
            <w:pPr>
              <w:ind w:firstLine="567"/>
              <w:jc w:val="both"/>
              <w:rPr>
                <w:color w:val="000000"/>
              </w:rPr>
            </w:pPr>
            <w:r w:rsidRPr="00704833">
              <w:t xml:space="preserve">За останньою оцінкою в цілому по Україні </w:t>
            </w:r>
            <w:r w:rsidRPr="00704833">
              <w:rPr>
                <w:color w:val="000000"/>
              </w:rPr>
              <w:t>у 2021 році звітне навантаження на респондентів порівняно з</w:t>
            </w:r>
            <w:r>
              <w:rPr>
                <w:color w:val="000000"/>
              </w:rPr>
              <w:t xml:space="preserve"> 2020 </w:t>
            </w:r>
            <w:r w:rsidRPr="00EF72B3">
              <w:t>роком</w:t>
            </w:r>
            <w:r w:rsidRPr="00704833">
              <w:rPr>
                <w:color w:val="000000"/>
              </w:rPr>
              <w:t xml:space="preserve"> за формою </w:t>
            </w:r>
            <w:r>
              <w:rPr>
                <w:color w:val="000000"/>
              </w:rPr>
              <w:br/>
            </w:r>
            <w:r w:rsidRPr="00704833">
              <w:rPr>
                <w:color w:val="000000"/>
              </w:rPr>
              <w:lastRenderedPageBreak/>
              <w:t xml:space="preserve">№ 9-ЗЕЗ (квартальна) збільшилося на 5,3% за рахунок збільшення кількості респондентів (за даними матриці участі респондентів у державних статистичних спостереженнях). </w:t>
            </w:r>
          </w:p>
          <w:p w:rsidR="009B4F71" w:rsidRPr="00704833" w:rsidRDefault="009B4F71" w:rsidP="009B4F71">
            <w:pPr>
              <w:ind w:firstLine="567"/>
              <w:jc w:val="both"/>
              <w:rPr>
                <w:color w:val="000000"/>
              </w:rPr>
            </w:pPr>
            <w:r w:rsidRPr="00704833">
              <w:rPr>
                <w:color w:val="000000"/>
              </w:rPr>
              <w:t>За результатами анкетного опитування для визначення звітного навантаження на респондентів середні вит</w:t>
            </w:r>
            <w:r w:rsidR="00A64AC9">
              <w:rPr>
                <w:color w:val="000000"/>
              </w:rPr>
              <w:t>рати часу на заповнення форми № </w:t>
            </w:r>
            <w:r w:rsidRPr="00704833">
              <w:rPr>
                <w:color w:val="000000"/>
              </w:rPr>
              <w:t>9-ЗЕЗ</w:t>
            </w:r>
            <w:r w:rsidR="00A64AC9">
              <w:rPr>
                <w:color w:val="000000"/>
              </w:rPr>
              <w:t xml:space="preserve"> </w:t>
            </w:r>
            <w:r w:rsidRPr="00704833">
              <w:t>(квартальна)</w:t>
            </w:r>
            <w:r w:rsidRPr="00704833">
              <w:rPr>
                <w:color w:val="000000"/>
              </w:rPr>
              <w:t xml:space="preserve"> становлять 1 годину 32 хвилини. Більшості із числа опитаних респондентів (74%) було нескладно зрозуміти зміст показників форми та інструкцію (роз</w:t>
            </w:r>
            <w:r w:rsidRPr="00704833">
              <w:t>’</w:t>
            </w:r>
            <w:r w:rsidRPr="00704833">
              <w:rPr>
                <w:color w:val="000000"/>
              </w:rPr>
              <w:t>яснення) щодо її заповнення, підготувати необхідну інформацію та заповнити форму. Індекс задовол</w:t>
            </w:r>
            <w:r w:rsidR="00A64AC9">
              <w:rPr>
                <w:color w:val="000000"/>
              </w:rPr>
              <w:t>еності респондентів за формою № </w:t>
            </w:r>
            <w:r w:rsidRPr="00704833">
              <w:rPr>
                <w:color w:val="000000"/>
              </w:rPr>
              <w:t xml:space="preserve">9-ЗЕЗ (квартальна) становить 87, що є цілком прийнятним (при середньому значенні показника по ДСС 88). </w:t>
            </w:r>
          </w:p>
          <w:p w:rsidR="00B62E14" w:rsidRPr="00704833" w:rsidRDefault="009B4F71" w:rsidP="008E577D">
            <w:pPr>
              <w:ind w:firstLine="567"/>
              <w:jc w:val="both"/>
              <w:rPr>
                <w:color w:val="FF0000"/>
              </w:rPr>
            </w:pPr>
            <w:r w:rsidRPr="009B4F71">
              <w:rPr>
                <w:spacing w:val="-2"/>
                <w:lang w:eastAsia="ru-RU"/>
              </w:rPr>
              <w:t xml:space="preserve">Загальний рівень звітування </w:t>
            </w:r>
            <w:r w:rsidRPr="009B4F71">
              <w:t xml:space="preserve">по формах ДСС </w:t>
            </w:r>
            <w:r w:rsidR="00A64AC9">
              <w:t xml:space="preserve">                                        </w:t>
            </w:r>
            <w:r w:rsidRPr="009B4F71">
              <w:t xml:space="preserve">№ 9-ЗЕЗ (квартальна) </w:t>
            </w:r>
            <w:r w:rsidR="008E577D">
              <w:t>у</w:t>
            </w:r>
            <w:r w:rsidRPr="009B4F71">
              <w:t xml:space="preserve"> 202</w:t>
            </w:r>
            <w:r w:rsidR="008E577D">
              <w:t>4</w:t>
            </w:r>
            <w:r w:rsidRPr="009B4F71">
              <w:t xml:space="preserve"> р</w:t>
            </w:r>
            <w:r w:rsidR="008E577D">
              <w:t>оці</w:t>
            </w:r>
            <w:r w:rsidR="00A64AC9">
              <w:t xml:space="preserve"> становив 80 % та № </w:t>
            </w:r>
            <w:r w:rsidRPr="009B4F71">
              <w:t xml:space="preserve">1-ЗЕЗ (буд) (річна) за 2023 рік становив </w:t>
            </w:r>
            <w:r>
              <w:t>89,8</w:t>
            </w:r>
            <w:r w:rsidRPr="009B4F71">
              <w:t xml:space="preserve"> %.</w:t>
            </w:r>
          </w:p>
        </w:tc>
      </w:tr>
      <w:tr w:rsidR="00B62E14" w:rsidRPr="00704833" w:rsidTr="006023BA">
        <w:tc>
          <w:tcPr>
            <w:tcW w:w="14459" w:type="dxa"/>
            <w:gridSpan w:val="2"/>
            <w:shd w:val="clear" w:color="auto" w:fill="auto"/>
          </w:tcPr>
          <w:p w:rsidR="00B62E14" w:rsidRPr="00704833" w:rsidRDefault="00B62E14" w:rsidP="00B62E14">
            <w:pPr>
              <w:widowControl w:val="0"/>
              <w:autoSpaceDE w:val="0"/>
              <w:autoSpaceDN w:val="0"/>
              <w:adjustRightInd w:val="0"/>
            </w:pPr>
            <w:r w:rsidRPr="00704833">
              <w:lastRenderedPageBreak/>
              <w:t>S.17. Перегляд</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S.17.1. Перегляд ‒ політика</w:t>
            </w:r>
          </w:p>
        </w:tc>
        <w:tc>
          <w:tcPr>
            <w:tcW w:w="8647" w:type="dxa"/>
            <w:shd w:val="clear" w:color="auto" w:fill="auto"/>
          </w:tcPr>
          <w:p w:rsidR="00F50E1C" w:rsidRDefault="00B62E14" w:rsidP="00F50E1C">
            <w:pPr>
              <w:widowControl w:val="0"/>
              <w:ind w:right="-1" w:firstLine="459"/>
              <w:jc w:val="both"/>
              <w:outlineLvl w:val="3"/>
            </w:pPr>
            <w:r w:rsidRPr="00704833">
              <w:t xml:space="preserve">Перегляд статистичної інформації ДСС відбувається відповідно до </w:t>
            </w:r>
            <w:hyperlink r:id="rId25" w:history="1">
              <w:r w:rsidRPr="00704833">
                <w:t>Політики перегляду офіційної державної статистичної інформації, затвердженої наказом Держ</w:t>
              </w:r>
              <w:r w:rsidR="00A64AC9">
                <w:t>стату від 20 грудня 2022 року № </w:t>
              </w:r>
              <w:r w:rsidRPr="00704833">
                <w:t>328</w:t>
              </w:r>
            </w:hyperlink>
            <w:r w:rsidRPr="00704833">
              <w:t xml:space="preserve">: </w:t>
            </w:r>
            <w:hyperlink r:id="rId26" w:history="1">
              <w:r w:rsidRPr="009B4F71">
                <w:t>https://ukrstat.gov.ua/norm_doc/2019/283/Politnka_peregl.pdf</w:t>
              </w:r>
            </w:hyperlink>
            <w:r w:rsidR="00F50E1C" w:rsidRPr="009B4F71">
              <w:t>;</w:t>
            </w:r>
          </w:p>
          <w:p w:rsidR="00F50E1C" w:rsidRPr="009B4F71" w:rsidRDefault="00B73000" w:rsidP="00F50E1C">
            <w:pPr>
              <w:widowControl w:val="0"/>
              <w:ind w:right="-1" w:firstLine="459"/>
              <w:jc w:val="both"/>
              <w:outlineLvl w:val="3"/>
            </w:pPr>
            <w:hyperlink r:id="rId27" w:tgtFrame="_blank" w:history="1">
              <w:r w:rsidR="00B62E14" w:rsidRPr="009B4F71">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F50E1C" w:rsidRPr="009B4F71">
                <w:t xml:space="preserve">року </w:t>
              </w:r>
              <w:r w:rsidR="00A64AC9">
                <w:t>№ </w:t>
              </w:r>
              <w:r w:rsidR="00B62E14" w:rsidRPr="009B4F71">
                <w:t>220</w:t>
              </w:r>
            </w:hyperlink>
            <w:r w:rsidR="009B4F71" w:rsidRPr="009B4F71">
              <w:t>:</w:t>
            </w:r>
          </w:p>
          <w:p w:rsidR="00F50E1C" w:rsidRPr="009B4F71" w:rsidRDefault="00B73000" w:rsidP="00F50E1C">
            <w:pPr>
              <w:widowControl w:val="0"/>
              <w:ind w:right="-1" w:firstLine="459"/>
              <w:jc w:val="both"/>
              <w:outlineLvl w:val="3"/>
            </w:pPr>
            <w:hyperlink r:id="rId28" w:history="1">
              <w:r w:rsidR="00B62E14" w:rsidRPr="009B4F71">
                <w:t>https://ukrstat.gov.ua/norm_doc/2021/220/220.pdf</w:t>
              </w:r>
            </w:hyperlink>
            <w:r w:rsidR="00F50E1C" w:rsidRPr="009B4F71">
              <w:t>;</w:t>
            </w:r>
          </w:p>
          <w:p w:rsidR="00B62E14" w:rsidRPr="00704833" w:rsidRDefault="00B62E14" w:rsidP="009B4F71">
            <w:pPr>
              <w:widowControl w:val="0"/>
              <w:ind w:right="-1" w:firstLine="459"/>
              <w:jc w:val="both"/>
              <w:outlineLvl w:val="3"/>
            </w:pPr>
            <w:r w:rsidRPr="009B4F71">
              <w:t>розділу ІХ Методологічних положень</w:t>
            </w:r>
            <w:r w:rsidR="00F50E1C" w:rsidRPr="009B4F71">
              <w:t xml:space="preserve"> цього ДСС.</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rPr>
                <w:highlight w:val="cyan"/>
              </w:rPr>
            </w:pPr>
            <w:r w:rsidRPr="00704833">
              <w:t>S.17.2. Перегляд ‒ середній розмір перегляду (A6 (U))</w:t>
            </w:r>
          </w:p>
        </w:tc>
        <w:tc>
          <w:tcPr>
            <w:tcW w:w="8647" w:type="dxa"/>
            <w:shd w:val="clear" w:color="auto" w:fill="auto"/>
          </w:tcPr>
          <w:p w:rsidR="00B62E14" w:rsidRPr="00704833" w:rsidRDefault="00B62E14" w:rsidP="00B62E14">
            <w:pPr>
              <w:ind w:firstLine="430"/>
              <w:jc w:val="both"/>
            </w:pPr>
            <w:r w:rsidRPr="00704833">
              <w:t xml:space="preserve">Для цього ДСС передбачений незапланований перегляд статистичної інформації, який проводиться в разі непередбачуваних подій, помилок, які можуть значно вплинути на вже </w:t>
            </w:r>
            <w:r w:rsidRPr="00704833">
              <w:lastRenderedPageBreak/>
              <w:t>оприлюднені/поширені статистичні показники ДСС.</w:t>
            </w:r>
          </w:p>
          <w:p w:rsidR="00B62E14" w:rsidRPr="0062587E" w:rsidRDefault="00B62E14" w:rsidP="00B62E14">
            <w:pPr>
              <w:autoSpaceDE w:val="0"/>
              <w:autoSpaceDN w:val="0"/>
              <w:adjustRightInd w:val="0"/>
              <w:ind w:firstLine="567"/>
              <w:jc w:val="both"/>
            </w:pPr>
            <w:r w:rsidRPr="0062587E">
              <w:t>Про незапланований перегляд користувачів статистичної інформації повідомляють, як тільки виникає потреба в ньому. Відповідне повідомлення</w:t>
            </w:r>
            <w:r w:rsidRPr="0062587E">
              <w:rPr>
                <w:spacing w:val="-2"/>
              </w:rPr>
              <w:t xml:space="preserve"> оприлюднюється на офіційному </w:t>
            </w:r>
            <w:proofErr w:type="spellStart"/>
            <w:r w:rsidRPr="0062587E">
              <w:rPr>
                <w:spacing w:val="-2"/>
              </w:rPr>
              <w:t>вебсайті</w:t>
            </w:r>
            <w:proofErr w:type="spellEnd"/>
            <w:r w:rsidR="0062587E" w:rsidRPr="0062587E">
              <w:rPr>
                <w:spacing w:val="-2"/>
              </w:rPr>
              <w:t xml:space="preserve"> </w:t>
            </w:r>
            <w:proofErr w:type="spellStart"/>
            <w:r w:rsidRPr="0062587E">
              <w:rPr>
                <w:spacing w:val="-2"/>
              </w:rPr>
              <w:t>Держстату</w:t>
            </w:r>
            <w:proofErr w:type="spellEnd"/>
            <w:r w:rsidRPr="0062587E">
              <w:rPr>
                <w:spacing w:val="-2"/>
              </w:rPr>
              <w:t>, а в статистичних продуктах наводяться відповідні пояснення.</w:t>
            </w:r>
          </w:p>
          <w:p w:rsidR="00B62E14" w:rsidRPr="0062587E" w:rsidRDefault="00B62E14" w:rsidP="00B62E14">
            <w:pPr>
              <w:autoSpaceDE w:val="0"/>
              <w:autoSpaceDN w:val="0"/>
              <w:adjustRightInd w:val="0"/>
              <w:ind w:firstLine="567"/>
              <w:jc w:val="both"/>
            </w:pPr>
            <w:r w:rsidRPr="0062587E">
              <w:t>Водночас, за історію проведення ДСС було здійснено декілька запланованих ретроспективних перерахунківйого результатів (річні динамічні ряди) за основнимийогопоказниками (вартості експорту-імпорту послуг з переробки матеріальних ресурсів), пов'язаних із суттєвими змінами у методології:</w:t>
            </w:r>
          </w:p>
          <w:p w:rsidR="00B62E14" w:rsidRPr="0062587E" w:rsidRDefault="00B62E14" w:rsidP="00B62E14">
            <w:pPr>
              <w:autoSpaceDE w:val="0"/>
              <w:autoSpaceDN w:val="0"/>
              <w:adjustRightInd w:val="0"/>
              <w:ind w:firstLine="567"/>
              <w:jc w:val="both"/>
            </w:pPr>
            <w:r w:rsidRPr="0062587E">
              <w:t xml:space="preserve">1) у 2015–2016 році ретроспективний перерахунок вартості послуг з переробки матеріальних ресурсів та загальних обсягів зовнішньої торгівлі України послугами за 2000–2012 роки; </w:t>
            </w:r>
          </w:p>
          <w:p w:rsidR="00B62E14" w:rsidRPr="0062587E" w:rsidRDefault="00B62E14" w:rsidP="00B62E14">
            <w:pPr>
              <w:autoSpaceDE w:val="0"/>
              <w:autoSpaceDN w:val="0"/>
              <w:adjustRightInd w:val="0"/>
              <w:ind w:firstLine="567"/>
              <w:jc w:val="both"/>
            </w:pPr>
            <w:r w:rsidRPr="0062587E">
              <w:t xml:space="preserve">2) у 2015 році </w:t>
            </w:r>
            <w:r w:rsidR="003F5AC6" w:rsidRPr="0062587E">
              <w:t>–</w:t>
            </w:r>
            <w:r w:rsidRPr="0062587E">
              <w:t>ретроспективний розрахунок даних за період 2010–2013 роки без урахування тимчасово окупованої території Автономної Республіки Крим, м. Севастополя;</w:t>
            </w:r>
          </w:p>
          <w:p w:rsidR="00B62E14" w:rsidRPr="00704833" w:rsidRDefault="00B62E14" w:rsidP="00B62E14">
            <w:pPr>
              <w:autoSpaceDE w:val="0"/>
              <w:autoSpaceDN w:val="0"/>
              <w:adjustRightInd w:val="0"/>
              <w:ind w:firstLine="567"/>
              <w:jc w:val="both"/>
            </w:pPr>
            <w:r w:rsidRPr="0062587E">
              <w:t xml:space="preserve">3) у 2017 році </w:t>
            </w:r>
            <w:r w:rsidR="003F5AC6" w:rsidRPr="0062587E">
              <w:t>–</w:t>
            </w:r>
            <w:r w:rsidRPr="0062587E">
              <w:t>ретроспективний розрахунок даних за період 2014–2016 роки без урахування тимчасово окупованої території Автономної Республіки Крим, м. Севастополя, а також без частини тимчасово окупованих територій у Донецькій та Луганській</w:t>
            </w:r>
            <w:r w:rsidRPr="00704833">
              <w:t xml:space="preserve"> областях</w:t>
            </w:r>
          </w:p>
          <w:p w:rsidR="00B62E14" w:rsidRPr="00704833" w:rsidRDefault="0062587E" w:rsidP="00B62E14">
            <w:pPr>
              <w:autoSpaceDE w:val="0"/>
              <w:autoSpaceDN w:val="0"/>
              <w:adjustRightInd w:val="0"/>
              <w:ind w:firstLine="567"/>
              <w:jc w:val="both"/>
              <w:rPr>
                <w:color w:val="FF0000"/>
              </w:rPr>
            </w:pPr>
            <w:r>
              <w:t>4) </w:t>
            </w:r>
            <w:r w:rsidR="00B62E14" w:rsidRPr="00704833">
              <w:t>у 2022 році, відповідно до Програми розвитку державної статистики до 2023 року, здійснено перерахунок послуг з фінансового посередництва, що обчислюються непрямим шляхом (FISIM) та відповідно загальних обсягів зовнішньої торгівлі послугами за 2017–2021 роки (без розподілу за географічною структурою).</w:t>
            </w:r>
          </w:p>
        </w:tc>
      </w:tr>
      <w:tr w:rsidR="00B62E14" w:rsidRPr="00704833" w:rsidTr="00582497">
        <w:trPr>
          <w:trHeight w:val="5042"/>
        </w:trPr>
        <w:tc>
          <w:tcPr>
            <w:tcW w:w="5812" w:type="dxa"/>
            <w:shd w:val="clear" w:color="auto" w:fill="auto"/>
          </w:tcPr>
          <w:p w:rsidR="00B62E14" w:rsidRPr="00704833" w:rsidRDefault="00B62E14" w:rsidP="00B62E14">
            <w:pPr>
              <w:widowControl w:val="0"/>
              <w:autoSpaceDE w:val="0"/>
              <w:autoSpaceDN w:val="0"/>
              <w:adjustRightInd w:val="0"/>
              <w:rPr>
                <w:highlight w:val="magenta"/>
              </w:rPr>
            </w:pPr>
            <w:r w:rsidRPr="00704833">
              <w:lastRenderedPageBreak/>
              <w:t>S.17.2.1. Перегляд ‒ середній розмір перегляду (A6 (Р))</w:t>
            </w:r>
          </w:p>
        </w:tc>
        <w:tc>
          <w:tcPr>
            <w:tcW w:w="8647" w:type="dxa"/>
            <w:shd w:val="clear" w:color="auto" w:fill="auto"/>
          </w:tcPr>
          <w:p w:rsidR="00507DBB" w:rsidRPr="00704833" w:rsidRDefault="00B62E14" w:rsidP="006F71F8">
            <w:pPr>
              <w:ind w:firstLine="459"/>
              <w:jc w:val="both"/>
            </w:pPr>
            <w:r w:rsidRPr="00704833">
              <w:t xml:space="preserve">За цим ДСС можуть переглядатися усі показники, наведені у </w:t>
            </w:r>
            <w:r w:rsidR="003F5AC6" w:rsidRPr="009B4F71">
              <w:t>пункті</w:t>
            </w:r>
            <w:r w:rsidRPr="00704833">
              <w:t>S.3.4., але найчастіше перерахунок здійснюється за такими показниками</w:t>
            </w:r>
            <w:r w:rsidR="006F71F8" w:rsidRPr="00704833">
              <w:t xml:space="preserve">, як </w:t>
            </w:r>
            <w:r w:rsidRPr="00704833">
              <w:t>"Експорт послуг"</w:t>
            </w:r>
            <w:r w:rsidR="006F71F8" w:rsidRPr="00704833">
              <w:t xml:space="preserve"> та </w:t>
            </w:r>
            <w:r w:rsidRPr="00704833">
              <w:t>"Імпорт послуг"</w:t>
            </w:r>
            <w:r w:rsidR="006F71F8" w:rsidRPr="00704833">
              <w:t>.</w:t>
            </w:r>
          </w:p>
          <w:p w:rsidR="006F71F8" w:rsidRPr="00704833" w:rsidRDefault="006F71F8" w:rsidP="006F71F8">
            <w:pPr>
              <w:ind w:firstLine="459"/>
              <w:jc w:val="both"/>
            </w:pPr>
          </w:p>
          <w:p w:rsidR="00507DBB" w:rsidRPr="00704833" w:rsidRDefault="00FD40B6" w:rsidP="00FD40B6">
            <w:pPr>
              <w:ind w:left="34" w:right="346"/>
              <w:jc w:val="right"/>
            </w:pPr>
            <w:r w:rsidRPr="00704833">
              <w:t>(</w:t>
            </w:r>
            <w:proofErr w:type="spellStart"/>
            <w:r w:rsidRPr="00704833">
              <w:t>тис.дол</w:t>
            </w:r>
            <w:proofErr w:type="spellEnd"/>
            <w:r w:rsidRPr="00704833">
              <w:t>.</w:t>
            </w:r>
            <w:r w:rsidR="0062587E">
              <w:t xml:space="preserve"> </w:t>
            </w:r>
            <w:r w:rsidRPr="00704833">
              <w:t>США)</w:t>
            </w:r>
          </w:p>
          <w:tbl>
            <w:tblPr>
              <w:tblStyle w:val="af4"/>
              <w:tblW w:w="0" w:type="auto"/>
              <w:tblInd w:w="34" w:type="dxa"/>
              <w:tblLayout w:type="fixed"/>
              <w:tblLook w:val="04A0" w:firstRow="1" w:lastRow="0" w:firstColumn="1" w:lastColumn="0" w:noHBand="0" w:noVBand="1"/>
            </w:tblPr>
            <w:tblGrid>
              <w:gridCol w:w="2659"/>
              <w:gridCol w:w="1843"/>
              <w:gridCol w:w="1843"/>
              <w:gridCol w:w="1701"/>
            </w:tblGrid>
            <w:tr w:rsidR="00FD40B6" w:rsidRPr="00704833" w:rsidTr="00FD40B6">
              <w:tc>
                <w:tcPr>
                  <w:tcW w:w="2659" w:type="dxa"/>
                </w:tcPr>
                <w:p w:rsidR="00FD40B6" w:rsidRPr="00704833" w:rsidRDefault="00FD40B6" w:rsidP="00FD40B6">
                  <w:pPr>
                    <w:jc w:val="center"/>
                  </w:pPr>
                  <w:r w:rsidRPr="00704833">
                    <w:t xml:space="preserve">Показник форми </w:t>
                  </w:r>
                </w:p>
                <w:p w:rsidR="00FD40B6" w:rsidRPr="00704833" w:rsidRDefault="00FD40B6" w:rsidP="00FD40B6">
                  <w:pPr>
                    <w:jc w:val="center"/>
                  </w:pPr>
                  <w:r w:rsidRPr="00704833">
                    <w:t>№ 9-зез (квартальна)</w:t>
                  </w:r>
                </w:p>
              </w:tc>
              <w:tc>
                <w:tcPr>
                  <w:tcW w:w="1843" w:type="dxa"/>
                </w:tcPr>
                <w:p w:rsidR="00FD40B6" w:rsidRPr="00704833" w:rsidRDefault="00FD40B6" w:rsidP="00FD40B6">
                  <w:pPr>
                    <w:jc w:val="center"/>
                  </w:pPr>
                  <w:r w:rsidRPr="00704833">
                    <w:t>Значення до перерахунку</w:t>
                  </w:r>
                </w:p>
              </w:tc>
              <w:tc>
                <w:tcPr>
                  <w:tcW w:w="1843" w:type="dxa"/>
                </w:tcPr>
                <w:p w:rsidR="00FD40B6" w:rsidRPr="00704833" w:rsidRDefault="00FD40B6" w:rsidP="00FD40B6">
                  <w:pPr>
                    <w:jc w:val="center"/>
                  </w:pPr>
                  <w:r w:rsidRPr="00704833">
                    <w:t>Значення після перерахунку</w:t>
                  </w:r>
                </w:p>
              </w:tc>
              <w:tc>
                <w:tcPr>
                  <w:tcW w:w="1701" w:type="dxa"/>
                </w:tcPr>
                <w:p w:rsidR="00FD40B6" w:rsidRPr="00704833" w:rsidRDefault="00FD40B6" w:rsidP="00FD40B6">
                  <w:pPr>
                    <w:jc w:val="center"/>
                  </w:pPr>
                  <w:r w:rsidRPr="00704833">
                    <w:t>Середній розмір перегляду (А6)</w:t>
                  </w:r>
                </w:p>
              </w:tc>
            </w:tr>
            <w:tr w:rsidR="00FD40B6" w:rsidRPr="00704833" w:rsidTr="00704833">
              <w:tc>
                <w:tcPr>
                  <w:tcW w:w="8046" w:type="dxa"/>
                  <w:gridSpan w:val="4"/>
                </w:tcPr>
                <w:p w:rsidR="00FD40B6" w:rsidRPr="00704833" w:rsidRDefault="00A569D9" w:rsidP="00A569D9">
                  <w:pPr>
                    <w:jc w:val="center"/>
                    <w:rPr>
                      <w:b/>
                    </w:rPr>
                  </w:pPr>
                  <w:r w:rsidRPr="00704833">
                    <w:rPr>
                      <w:b/>
                    </w:rPr>
                    <w:t>у 2023 році</w:t>
                  </w:r>
                </w:p>
              </w:tc>
            </w:tr>
            <w:tr w:rsidR="00FD40B6" w:rsidRPr="00704833" w:rsidTr="00FD40B6">
              <w:tc>
                <w:tcPr>
                  <w:tcW w:w="2659" w:type="dxa"/>
                </w:tcPr>
                <w:p w:rsidR="00FD40B6" w:rsidRPr="00704833" w:rsidRDefault="00FD40B6" w:rsidP="00B62E14">
                  <w:pPr>
                    <w:jc w:val="both"/>
                  </w:pPr>
                  <w:r w:rsidRPr="00704833">
                    <w:t>Експорт послуг</w:t>
                  </w:r>
                </w:p>
              </w:tc>
              <w:tc>
                <w:tcPr>
                  <w:tcW w:w="1843" w:type="dxa"/>
                </w:tcPr>
                <w:p w:rsidR="00FD40B6" w:rsidRPr="00704833" w:rsidRDefault="00CC5CA4" w:rsidP="00B62E14">
                  <w:pPr>
                    <w:jc w:val="both"/>
                  </w:pPr>
                  <w:r w:rsidRPr="00704833">
                    <w:t>8249467,04</w:t>
                  </w:r>
                </w:p>
              </w:tc>
              <w:tc>
                <w:tcPr>
                  <w:tcW w:w="1843" w:type="dxa"/>
                </w:tcPr>
                <w:p w:rsidR="00FD40B6" w:rsidRPr="00704833" w:rsidRDefault="00770A65" w:rsidP="00B62E14">
                  <w:pPr>
                    <w:jc w:val="both"/>
                  </w:pPr>
                  <w:r w:rsidRPr="00704833">
                    <w:t>8991975,88</w:t>
                  </w:r>
                </w:p>
              </w:tc>
              <w:tc>
                <w:tcPr>
                  <w:tcW w:w="1701" w:type="dxa"/>
                </w:tcPr>
                <w:p w:rsidR="00FD40B6" w:rsidRPr="00704833" w:rsidRDefault="00CC5CA4" w:rsidP="00B62E14">
                  <w:pPr>
                    <w:jc w:val="both"/>
                  </w:pPr>
                  <w:r w:rsidRPr="00704833">
                    <w:t>742508,84</w:t>
                  </w:r>
                </w:p>
              </w:tc>
            </w:tr>
            <w:tr w:rsidR="00FD40B6" w:rsidRPr="00704833" w:rsidTr="00FD40B6">
              <w:tc>
                <w:tcPr>
                  <w:tcW w:w="2659" w:type="dxa"/>
                </w:tcPr>
                <w:p w:rsidR="00FD40B6" w:rsidRPr="00704833" w:rsidRDefault="00FD40B6" w:rsidP="00B62E14">
                  <w:pPr>
                    <w:jc w:val="both"/>
                  </w:pPr>
                  <w:r w:rsidRPr="00704833">
                    <w:t>Імпорт послуг</w:t>
                  </w:r>
                </w:p>
              </w:tc>
              <w:tc>
                <w:tcPr>
                  <w:tcW w:w="1843" w:type="dxa"/>
                </w:tcPr>
                <w:p w:rsidR="00FD40B6" w:rsidRPr="00704833" w:rsidRDefault="00CC5CA4" w:rsidP="00733F37">
                  <w:pPr>
                    <w:jc w:val="both"/>
                  </w:pPr>
                  <w:r w:rsidRPr="00704833">
                    <w:t>520</w:t>
                  </w:r>
                  <w:r w:rsidR="00733F37" w:rsidRPr="00704833">
                    <w:t>1</w:t>
                  </w:r>
                  <w:r w:rsidRPr="00704833">
                    <w:t>683,02</w:t>
                  </w:r>
                </w:p>
              </w:tc>
              <w:tc>
                <w:tcPr>
                  <w:tcW w:w="1843" w:type="dxa"/>
                </w:tcPr>
                <w:p w:rsidR="00FD40B6" w:rsidRPr="00704833" w:rsidRDefault="00770A65" w:rsidP="00B62E14">
                  <w:pPr>
                    <w:jc w:val="both"/>
                  </w:pPr>
                  <w:r w:rsidRPr="00704833">
                    <w:t>5424477,78</w:t>
                  </w:r>
                </w:p>
              </w:tc>
              <w:tc>
                <w:tcPr>
                  <w:tcW w:w="1701" w:type="dxa"/>
                </w:tcPr>
                <w:p w:rsidR="00FD40B6" w:rsidRPr="00704833" w:rsidRDefault="00CC5CA4" w:rsidP="00733F37">
                  <w:pPr>
                    <w:jc w:val="both"/>
                  </w:pPr>
                  <w:r w:rsidRPr="00704833">
                    <w:t>2</w:t>
                  </w:r>
                  <w:r w:rsidR="00733F37" w:rsidRPr="00704833">
                    <w:t>22</w:t>
                  </w:r>
                  <w:r w:rsidRPr="00704833">
                    <w:t>794,76</w:t>
                  </w:r>
                </w:p>
              </w:tc>
            </w:tr>
            <w:tr w:rsidR="00FD40B6" w:rsidRPr="00704833" w:rsidTr="00704833">
              <w:tc>
                <w:tcPr>
                  <w:tcW w:w="8046" w:type="dxa"/>
                  <w:gridSpan w:val="4"/>
                </w:tcPr>
                <w:p w:rsidR="00FD40B6" w:rsidRPr="00704833" w:rsidRDefault="00A569D9" w:rsidP="00A569D9">
                  <w:pPr>
                    <w:jc w:val="center"/>
                  </w:pPr>
                  <w:r w:rsidRPr="00704833">
                    <w:rPr>
                      <w:b/>
                    </w:rPr>
                    <w:t>у 2021 році</w:t>
                  </w:r>
                </w:p>
              </w:tc>
            </w:tr>
            <w:tr w:rsidR="00A569D9" w:rsidRPr="00704833" w:rsidTr="00FD40B6">
              <w:tc>
                <w:tcPr>
                  <w:tcW w:w="2659" w:type="dxa"/>
                </w:tcPr>
                <w:p w:rsidR="00A569D9" w:rsidRPr="00704833" w:rsidRDefault="00A569D9" w:rsidP="00704833">
                  <w:pPr>
                    <w:jc w:val="both"/>
                  </w:pPr>
                  <w:r w:rsidRPr="00704833">
                    <w:t>Експорт послуг</w:t>
                  </w:r>
                </w:p>
              </w:tc>
              <w:tc>
                <w:tcPr>
                  <w:tcW w:w="1843" w:type="dxa"/>
                </w:tcPr>
                <w:p w:rsidR="00A569D9" w:rsidRPr="00704833" w:rsidRDefault="00FE252E" w:rsidP="00B62E14">
                  <w:pPr>
                    <w:jc w:val="both"/>
                  </w:pPr>
                  <w:r w:rsidRPr="00704833">
                    <w:t>13156457,49</w:t>
                  </w:r>
                </w:p>
              </w:tc>
              <w:tc>
                <w:tcPr>
                  <w:tcW w:w="1843" w:type="dxa"/>
                </w:tcPr>
                <w:p w:rsidR="00A569D9" w:rsidRPr="00704833" w:rsidRDefault="001203F6" w:rsidP="00B62E14">
                  <w:pPr>
                    <w:jc w:val="both"/>
                  </w:pPr>
                  <w:r w:rsidRPr="00704833">
                    <w:t>12785587,47</w:t>
                  </w:r>
                </w:p>
              </w:tc>
              <w:tc>
                <w:tcPr>
                  <w:tcW w:w="1701" w:type="dxa"/>
                </w:tcPr>
                <w:p w:rsidR="00A569D9" w:rsidRPr="00704833" w:rsidRDefault="001203F6" w:rsidP="00B62E14">
                  <w:pPr>
                    <w:jc w:val="both"/>
                  </w:pPr>
                  <w:r w:rsidRPr="00704833">
                    <w:t>-370870,02</w:t>
                  </w:r>
                </w:p>
              </w:tc>
            </w:tr>
            <w:tr w:rsidR="00A569D9" w:rsidRPr="00704833" w:rsidTr="00FD40B6">
              <w:tc>
                <w:tcPr>
                  <w:tcW w:w="2659" w:type="dxa"/>
                </w:tcPr>
                <w:p w:rsidR="00A569D9" w:rsidRPr="00704833" w:rsidRDefault="00A569D9" w:rsidP="00704833">
                  <w:pPr>
                    <w:jc w:val="both"/>
                  </w:pPr>
                  <w:r w:rsidRPr="00704833">
                    <w:t>Імпорт послуг</w:t>
                  </w:r>
                </w:p>
              </w:tc>
              <w:tc>
                <w:tcPr>
                  <w:tcW w:w="1843" w:type="dxa"/>
                </w:tcPr>
                <w:p w:rsidR="00A569D9" w:rsidRPr="00704833" w:rsidRDefault="00FE252E" w:rsidP="00B62E14">
                  <w:pPr>
                    <w:jc w:val="both"/>
                  </w:pPr>
                  <w:r w:rsidRPr="00704833">
                    <w:t>7593386,14</w:t>
                  </w:r>
                </w:p>
              </w:tc>
              <w:tc>
                <w:tcPr>
                  <w:tcW w:w="1843" w:type="dxa"/>
                </w:tcPr>
                <w:p w:rsidR="00A569D9" w:rsidRPr="00704833" w:rsidRDefault="001203F6" w:rsidP="00B62E14">
                  <w:pPr>
                    <w:jc w:val="both"/>
                  </w:pPr>
                  <w:r w:rsidRPr="00704833">
                    <w:t>7976456,32</w:t>
                  </w:r>
                </w:p>
              </w:tc>
              <w:tc>
                <w:tcPr>
                  <w:tcW w:w="1701" w:type="dxa"/>
                </w:tcPr>
                <w:p w:rsidR="00A569D9" w:rsidRPr="00704833" w:rsidRDefault="001203F6" w:rsidP="00B62E14">
                  <w:pPr>
                    <w:jc w:val="both"/>
                  </w:pPr>
                  <w:r w:rsidRPr="00704833">
                    <w:t>383070,18</w:t>
                  </w:r>
                </w:p>
              </w:tc>
            </w:tr>
          </w:tbl>
          <w:p w:rsidR="00507DBB" w:rsidRPr="00704833" w:rsidRDefault="00507DBB" w:rsidP="00FD40B6">
            <w:pPr>
              <w:ind w:left="34"/>
              <w:jc w:val="both"/>
            </w:pPr>
          </w:p>
        </w:tc>
      </w:tr>
      <w:tr w:rsidR="00B62E14" w:rsidRPr="00704833" w:rsidTr="006023BA">
        <w:tc>
          <w:tcPr>
            <w:tcW w:w="14459" w:type="dxa"/>
            <w:gridSpan w:val="2"/>
            <w:shd w:val="clear" w:color="auto" w:fill="auto"/>
          </w:tcPr>
          <w:p w:rsidR="00B62E14" w:rsidRPr="00704833" w:rsidRDefault="00B62E14" w:rsidP="00B62E14">
            <w:pPr>
              <w:widowControl w:val="0"/>
              <w:autoSpaceDE w:val="0"/>
              <w:autoSpaceDN w:val="0"/>
              <w:adjustRightInd w:val="0"/>
            </w:pPr>
            <w:r w:rsidRPr="00704833">
              <w:t>S.18. Статистична обробка</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S.18.1. Джерела інформації для проведення ДСС</w:t>
            </w:r>
          </w:p>
        </w:tc>
        <w:tc>
          <w:tcPr>
            <w:tcW w:w="8647" w:type="dxa"/>
            <w:shd w:val="clear" w:color="auto" w:fill="auto"/>
          </w:tcPr>
          <w:p w:rsidR="00B62E14" w:rsidRPr="00704833" w:rsidRDefault="00B62E14" w:rsidP="00B62E14">
            <w:pPr>
              <w:widowControl w:val="0"/>
              <w:autoSpaceDE w:val="0"/>
              <w:autoSpaceDN w:val="0"/>
              <w:adjustRightInd w:val="0"/>
              <w:ind w:firstLine="430"/>
              <w:jc w:val="both"/>
            </w:pPr>
            <w:r w:rsidRPr="00704833">
              <w:t>Джерелами даних ДСС є:</w:t>
            </w:r>
          </w:p>
          <w:p w:rsidR="00B62E14" w:rsidRPr="00704833" w:rsidRDefault="00B62E14" w:rsidP="00B62E14">
            <w:pPr>
              <w:widowControl w:val="0"/>
              <w:autoSpaceDE w:val="0"/>
              <w:autoSpaceDN w:val="0"/>
              <w:adjustRightInd w:val="0"/>
              <w:ind w:firstLine="430"/>
              <w:jc w:val="both"/>
            </w:pPr>
            <w:r w:rsidRPr="00704833">
              <w:t>інформація, отримана від респондентів за формою № 9-ЗЕЗ (квартальна);</w:t>
            </w:r>
          </w:p>
          <w:p w:rsidR="00B62E14" w:rsidRPr="00704833" w:rsidRDefault="00B62E14" w:rsidP="00B62E14">
            <w:pPr>
              <w:widowControl w:val="0"/>
              <w:autoSpaceDE w:val="0"/>
              <w:autoSpaceDN w:val="0"/>
              <w:adjustRightInd w:val="0"/>
              <w:ind w:firstLine="430"/>
              <w:jc w:val="both"/>
            </w:pPr>
            <w:r w:rsidRPr="00704833">
              <w:t>інформація, отримана від респондентів за формою № 1-ЗЕЗ (буд) (річна);</w:t>
            </w:r>
          </w:p>
          <w:p w:rsidR="009B4F71" w:rsidRPr="009B4F71" w:rsidRDefault="000A220B" w:rsidP="00B62E14">
            <w:pPr>
              <w:widowControl w:val="0"/>
              <w:autoSpaceDE w:val="0"/>
              <w:autoSpaceDN w:val="0"/>
              <w:adjustRightInd w:val="0"/>
              <w:ind w:firstLine="430"/>
              <w:jc w:val="both"/>
            </w:pPr>
            <w:r w:rsidRPr="009B4F71">
              <w:t xml:space="preserve">агреговані знеособлені дані </w:t>
            </w:r>
            <w:r w:rsidR="00B62E14" w:rsidRPr="009B4F71">
              <w:t>ДСС "Експорт/імпорт продукції (товарів, послуг) військового призначення та подвійного використання"</w:t>
            </w:r>
            <w:r w:rsidRPr="009B4F71">
              <w:t>;</w:t>
            </w:r>
          </w:p>
          <w:p w:rsidR="00B62E14" w:rsidRPr="00704833" w:rsidRDefault="00B62E14" w:rsidP="00B62E14">
            <w:pPr>
              <w:widowControl w:val="0"/>
              <w:autoSpaceDE w:val="0"/>
              <w:autoSpaceDN w:val="0"/>
              <w:adjustRightInd w:val="0"/>
              <w:ind w:firstLine="430"/>
              <w:jc w:val="both"/>
            </w:pPr>
            <w:r w:rsidRPr="009B4F71">
              <w:t>ДСС "Реєстр статистичних одиниць"</w:t>
            </w:r>
            <w:r w:rsidR="003F5AC6" w:rsidRPr="009B4F71">
              <w:t xml:space="preserve">, яка використовується для формування генеральної сукупності, сукупності одиниць статистичного спостереження, що вивчається, та сукупності </w:t>
            </w:r>
            <w:r w:rsidR="003F5AC6" w:rsidRPr="009B4F71">
              <w:lastRenderedPageBreak/>
              <w:t>респондентів ДСС.</w:t>
            </w:r>
          </w:p>
          <w:p w:rsidR="00B62E14" w:rsidRPr="00704833" w:rsidRDefault="00B62E14" w:rsidP="00B62E14">
            <w:pPr>
              <w:widowControl w:val="0"/>
              <w:autoSpaceDE w:val="0"/>
              <w:autoSpaceDN w:val="0"/>
              <w:adjustRightInd w:val="0"/>
              <w:ind w:firstLine="430"/>
              <w:jc w:val="both"/>
            </w:pPr>
          </w:p>
          <w:p w:rsidR="00B62E14" w:rsidRPr="00704833" w:rsidRDefault="00F71191" w:rsidP="00B62E14">
            <w:pPr>
              <w:widowControl w:val="0"/>
              <w:autoSpaceDE w:val="0"/>
              <w:autoSpaceDN w:val="0"/>
              <w:adjustRightInd w:val="0"/>
              <w:ind w:firstLine="430"/>
              <w:jc w:val="both"/>
            </w:pPr>
            <w:r>
              <w:t xml:space="preserve">Також </w:t>
            </w:r>
            <w:r w:rsidR="00B62E14" w:rsidRPr="00704833">
              <w:t>використовуються адміністративні дані:</w:t>
            </w:r>
          </w:p>
          <w:p w:rsidR="00B62E14" w:rsidRPr="00704833" w:rsidRDefault="00B62E14" w:rsidP="00B62E14">
            <w:pPr>
              <w:widowControl w:val="0"/>
              <w:autoSpaceDE w:val="0"/>
              <w:autoSpaceDN w:val="0"/>
              <w:adjustRightInd w:val="0"/>
              <w:ind w:firstLine="430"/>
              <w:jc w:val="both"/>
            </w:pPr>
            <w:r w:rsidRPr="00704833">
              <w:t>МЗС про витрати, пов’язані з утриманням закордонних дипломатичних установ України;</w:t>
            </w:r>
          </w:p>
          <w:p w:rsidR="00B62E14" w:rsidRDefault="00B62E14" w:rsidP="00B62E14">
            <w:pPr>
              <w:widowControl w:val="0"/>
              <w:autoSpaceDE w:val="0"/>
              <w:autoSpaceDN w:val="0"/>
              <w:adjustRightInd w:val="0"/>
              <w:ind w:firstLine="430"/>
              <w:jc w:val="both"/>
            </w:pPr>
            <w:proofErr w:type="spellStart"/>
            <w:r w:rsidRPr="00704833">
              <w:t>Держекспортконтролю</w:t>
            </w:r>
            <w:proofErr w:type="spellEnd"/>
            <w:r w:rsidRPr="00704833">
              <w:t xml:space="preserve"> щодо переліку підприємств, які одержали дозволи на право здійснення експорту/імпорту товарів (послуг) військового призначення та подвійного використання.</w:t>
            </w:r>
          </w:p>
          <w:p w:rsidR="00F71191" w:rsidRDefault="00F71191" w:rsidP="00F71191">
            <w:pPr>
              <w:widowControl w:val="0"/>
              <w:autoSpaceDE w:val="0"/>
              <w:autoSpaceDN w:val="0"/>
              <w:adjustRightInd w:val="0"/>
              <w:ind w:firstLine="430"/>
              <w:jc w:val="both"/>
            </w:pPr>
            <w:r>
              <w:t xml:space="preserve">Раз на рік </w:t>
            </w:r>
            <w:r w:rsidRPr="00704833">
              <w:t>використовуються</w:t>
            </w:r>
            <w:r>
              <w:t xml:space="preserve"> дані з відкритих джерел.</w:t>
            </w:r>
          </w:p>
          <w:p w:rsidR="00F71191" w:rsidRPr="00704833" w:rsidRDefault="00F71191" w:rsidP="00F71191">
            <w:pPr>
              <w:widowControl w:val="0"/>
              <w:autoSpaceDE w:val="0"/>
              <w:autoSpaceDN w:val="0"/>
              <w:adjustRightInd w:val="0"/>
              <w:ind w:firstLine="430"/>
              <w:jc w:val="both"/>
            </w:pPr>
            <w:r>
              <w:t xml:space="preserve">дані </w:t>
            </w:r>
            <w:r w:rsidRPr="00704833">
              <w:t>з платіжного балансупро обсяги експорту-імпорту послуг із фінансового посередництва, що вимірюються непрямим шляхом (FISIM)</w:t>
            </w:r>
            <w:r>
              <w:t xml:space="preserve">, які оприлюднені на офіційному сайті </w:t>
            </w:r>
            <w:r w:rsidRPr="00704833">
              <w:t>НБУ</w:t>
            </w:r>
            <w:r>
              <w:t>.</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lastRenderedPageBreak/>
              <w:t>S.18.2. Періодичність отримання інформації</w:t>
            </w:r>
          </w:p>
        </w:tc>
        <w:tc>
          <w:tcPr>
            <w:tcW w:w="8647" w:type="dxa"/>
            <w:shd w:val="clear" w:color="auto" w:fill="auto"/>
          </w:tcPr>
          <w:p w:rsidR="00B62E14" w:rsidRPr="00704833" w:rsidRDefault="0062587E" w:rsidP="00B62E14">
            <w:pPr>
              <w:widowControl w:val="0"/>
              <w:autoSpaceDE w:val="0"/>
              <w:autoSpaceDN w:val="0"/>
              <w:adjustRightInd w:val="0"/>
              <w:ind w:firstLine="430"/>
              <w:jc w:val="both"/>
            </w:pPr>
            <w:r>
              <w:t>Інформація за формою№ </w:t>
            </w:r>
            <w:r w:rsidR="00B62E14" w:rsidRPr="00704833">
              <w:t>9-ЗЕЗ (квартальна) отримується щоквартально не пізніше 10-го числа місяця, наст</w:t>
            </w:r>
            <w:r>
              <w:t>упного за звітним періодом та № </w:t>
            </w:r>
            <w:r w:rsidR="00B62E14" w:rsidRPr="00704833">
              <w:t>1-ЗЕЗ (буд) (річна) – не пізніше 28 лютого року,наступногозазвітним.</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S.18.3. Збір інформації</w:t>
            </w:r>
          </w:p>
        </w:tc>
        <w:tc>
          <w:tcPr>
            <w:tcW w:w="8647" w:type="dxa"/>
            <w:shd w:val="clear" w:color="auto" w:fill="auto"/>
          </w:tcPr>
          <w:p w:rsidR="00B62E14" w:rsidRPr="00704833" w:rsidRDefault="00B62E14" w:rsidP="009B4F71">
            <w:pPr>
              <w:ind w:firstLine="430"/>
              <w:jc w:val="both"/>
            </w:pPr>
            <w:r w:rsidRPr="009B4F71">
              <w:t>Спостереження проводиться шляхом збору даних безпосередньо від респондентів (за формами</w:t>
            </w:r>
            <w:r w:rsidR="0062587E">
              <w:t xml:space="preserve"> </w:t>
            </w:r>
            <w:r w:rsidRPr="009B4F71">
              <w:t>№ 9-ЗЕЗ (квартальна) та № 1-ЗЕЗ (буд) (річна))</w:t>
            </w:r>
            <w:r w:rsidR="000A220B" w:rsidRPr="009B4F71">
              <w:t xml:space="preserve"> та з використанням адміністративних даних</w:t>
            </w:r>
            <w:r w:rsidR="009B4F71" w:rsidRPr="009B4F71">
              <w:t xml:space="preserve">. </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rPr>
                <w:highlight w:val="yellow"/>
              </w:rPr>
            </w:pPr>
            <w:r w:rsidRPr="00704833">
              <w:t xml:space="preserve">S.18.4. </w:t>
            </w:r>
            <w:proofErr w:type="spellStart"/>
            <w:r w:rsidRPr="00704833">
              <w:t>Валідація</w:t>
            </w:r>
            <w:proofErr w:type="spellEnd"/>
            <w:r w:rsidRPr="00704833">
              <w:t xml:space="preserve"> даних. Підтвердження інформації, необхідної для проведення ДСС  </w:t>
            </w:r>
          </w:p>
        </w:tc>
        <w:tc>
          <w:tcPr>
            <w:tcW w:w="8647" w:type="dxa"/>
            <w:shd w:val="clear" w:color="auto" w:fill="auto"/>
          </w:tcPr>
          <w:p w:rsidR="000A220B" w:rsidRDefault="00B62E14" w:rsidP="00B62E14">
            <w:pPr>
              <w:widowControl w:val="0"/>
              <w:autoSpaceDE w:val="0"/>
              <w:autoSpaceDN w:val="0"/>
              <w:adjustRightInd w:val="0"/>
              <w:ind w:firstLine="455"/>
              <w:jc w:val="both"/>
            </w:pPr>
            <w:r w:rsidRPr="00704833">
              <w:t>Якість інформації, що використовується для статистичного спостереження, постійно перевіряється у процесі проведення ДСС</w:t>
            </w:r>
            <w:r w:rsidR="000A220B">
              <w:t>.</w:t>
            </w:r>
          </w:p>
          <w:p w:rsidR="00190AF7" w:rsidRPr="009B4F71" w:rsidRDefault="000A220B" w:rsidP="000A220B">
            <w:pPr>
              <w:widowControl w:val="0"/>
              <w:autoSpaceDE w:val="0"/>
              <w:autoSpaceDN w:val="0"/>
              <w:adjustRightInd w:val="0"/>
              <w:ind w:firstLine="455"/>
              <w:jc w:val="both"/>
            </w:pPr>
            <w:r w:rsidRPr="009B4F71">
              <w:t xml:space="preserve">Обробка даних складається з </w:t>
            </w:r>
            <w:r w:rsidR="00190AF7" w:rsidRPr="009B4F71">
              <w:t xml:space="preserve">опрацювання стандартних процедур, у тому числі, ідентифікації респондента, правильності оформлення реквізитів, перевірки правильності співвідношення окремих значень показників форми, кодування даних, із застосуванням методу поєднання даних (одержаних безпосередньо від респондентів за формами </w:t>
            </w:r>
            <w:r w:rsidR="0062587E">
              <w:t>№ 9-ЗЕЗ (квартальна) та № </w:t>
            </w:r>
            <w:r w:rsidR="00190AF7" w:rsidRPr="009B4F71">
              <w:t xml:space="preserve">1-ЗЕЗ (буд) (річна)), а також зведених даних, що надійшли з адміністративних джерел, у частині </w:t>
            </w:r>
            <w:r w:rsidR="00190AF7" w:rsidRPr="009B4F71">
              <w:lastRenderedPageBreak/>
              <w:t>аналізу наявності та взаємозв’язку отриманих даних.</w:t>
            </w:r>
          </w:p>
          <w:p w:rsidR="00190AF7" w:rsidRPr="009B4F71" w:rsidRDefault="00190AF7" w:rsidP="000A220B">
            <w:pPr>
              <w:widowControl w:val="0"/>
              <w:autoSpaceDE w:val="0"/>
              <w:autoSpaceDN w:val="0"/>
              <w:adjustRightInd w:val="0"/>
              <w:ind w:firstLine="455"/>
              <w:jc w:val="both"/>
            </w:pPr>
            <w:r w:rsidRPr="009B4F71">
              <w:t>При обробці інформації застосовуються наступні методи контролю даних:</w:t>
            </w:r>
          </w:p>
          <w:p w:rsidR="00B62E14" w:rsidRPr="00704833" w:rsidRDefault="00B62E14" w:rsidP="009B4F71">
            <w:pPr>
              <w:widowControl w:val="0"/>
              <w:autoSpaceDE w:val="0"/>
              <w:autoSpaceDN w:val="0"/>
              <w:adjustRightInd w:val="0"/>
              <w:ind w:firstLine="455"/>
              <w:jc w:val="both"/>
            </w:pPr>
            <w:r w:rsidRPr="009B4F71">
              <w:t>контроль повноти та правильності заповнення статистичного формуляру;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неузгодженостей може здійснюватися зв’язок з респондентами</w:t>
            </w:r>
            <w:r w:rsidR="00190AF7" w:rsidRPr="009B4F71">
              <w:t xml:space="preserve"> та розпорядниками адміністративних даних </w:t>
            </w:r>
            <w:r w:rsidRPr="009B4F71">
              <w:t>і ві</w:t>
            </w:r>
            <w:r w:rsidR="009B4F71" w:rsidRPr="009B4F71">
              <w:t>дповідне редагування інформації.</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lastRenderedPageBreak/>
              <w:t>S.18.5. Об’єднання даних</w:t>
            </w:r>
          </w:p>
        </w:tc>
        <w:tc>
          <w:tcPr>
            <w:tcW w:w="8647" w:type="dxa"/>
            <w:shd w:val="clear" w:color="auto" w:fill="auto"/>
          </w:tcPr>
          <w:p w:rsidR="005C1022" w:rsidRDefault="00B62E14" w:rsidP="00B62E14">
            <w:pPr>
              <w:pStyle w:val="a7"/>
              <w:spacing w:before="0" w:beforeAutospacing="0" w:after="0" w:afterAutospacing="0"/>
              <w:ind w:firstLine="430"/>
              <w:contextualSpacing/>
              <w:jc w:val="both"/>
              <w:rPr>
                <w:sz w:val="28"/>
                <w:szCs w:val="28"/>
                <w:lang w:val="uk-UA"/>
              </w:rPr>
            </w:pPr>
            <w:r w:rsidRPr="00704833">
              <w:rPr>
                <w:sz w:val="28"/>
                <w:szCs w:val="28"/>
                <w:lang w:val="uk-UA"/>
              </w:rPr>
              <w:t>Формування показників ДСС відбувається шляхом арифметичного підсумовування даних</w:t>
            </w:r>
            <w:r w:rsidR="005C1022">
              <w:rPr>
                <w:sz w:val="28"/>
                <w:szCs w:val="28"/>
                <w:lang w:val="uk-UA"/>
              </w:rPr>
              <w:t>,</w:t>
            </w:r>
            <w:r w:rsidRPr="00704833">
              <w:rPr>
                <w:sz w:val="28"/>
                <w:szCs w:val="28"/>
                <w:lang w:val="uk-UA"/>
              </w:rPr>
              <w:t xml:space="preserve"> отриманих за результатами спостереження сукупності одиниць, що вивчається. </w:t>
            </w:r>
          </w:p>
          <w:p w:rsidR="00B62E14" w:rsidRPr="00704833" w:rsidRDefault="00B62E14" w:rsidP="00B62E14">
            <w:pPr>
              <w:pStyle w:val="a7"/>
              <w:spacing w:before="0" w:beforeAutospacing="0" w:after="0" w:afterAutospacing="0"/>
              <w:ind w:firstLine="430"/>
              <w:contextualSpacing/>
              <w:jc w:val="both"/>
              <w:rPr>
                <w:sz w:val="28"/>
                <w:szCs w:val="28"/>
                <w:lang w:val="uk-UA"/>
              </w:rPr>
            </w:pPr>
            <w:r w:rsidRPr="00704833">
              <w:rPr>
                <w:sz w:val="28"/>
                <w:szCs w:val="28"/>
                <w:lang w:val="uk-UA"/>
              </w:rPr>
              <w:t>Застосовується метод поєднання даних, одержани</w:t>
            </w:r>
            <w:r w:rsidR="0062587E">
              <w:rPr>
                <w:sz w:val="28"/>
                <w:szCs w:val="28"/>
                <w:lang w:val="uk-UA"/>
              </w:rPr>
              <w:t>х від респондентів за формами № 9-ЗЕЗ (квартальна) та № </w:t>
            </w:r>
            <w:r w:rsidRPr="00704833">
              <w:rPr>
                <w:sz w:val="28"/>
                <w:szCs w:val="28"/>
                <w:lang w:val="uk-UA"/>
              </w:rPr>
              <w:t>1-ЗЕЗ (буд) (річна), а також зведених даних, що надійшли з адміністративних джерел, у частині аналізу наявності та взаємозв’язку отриманих даних.</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 xml:space="preserve">S.18.5.1. Рівень </w:t>
            </w:r>
            <w:proofErr w:type="spellStart"/>
            <w:r w:rsidRPr="00704833">
              <w:t>імпутації</w:t>
            </w:r>
            <w:proofErr w:type="spellEnd"/>
            <w:r w:rsidRPr="00704833">
              <w:t xml:space="preserve"> (A7)</w:t>
            </w:r>
          </w:p>
        </w:tc>
        <w:tc>
          <w:tcPr>
            <w:tcW w:w="8647" w:type="dxa"/>
            <w:shd w:val="clear" w:color="auto" w:fill="auto"/>
          </w:tcPr>
          <w:p w:rsidR="00B62E14" w:rsidRPr="00704833" w:rsidRDefault="00511EBA" w:rsidP="00511EBA">
            <w:pPr>
              <w:widowControl w:val="0"/>
              <w:ind w:firstLine="322"/>
              <w:jc w:val="both"/>
            </w:pPr>
            <w:r w:rsidRPr="009B4F71">
              <w:t>Не застосовується. Методи компенсації відсутніх даних (</w:t>
            </w:r>
            <w:proofErr w:type="spellStart"/>
            <w:r w:rsidRPr="009B4F71">
              <w:t>імпутації</w:t>
            </w:r>
            <w:proofErr w:type="spellEnd"/>
            <w:r w:rsidRPr="009B4F71">
              <w:t>) за цим ДСС не передбачені відповідними Методологічними положеннями.</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S.18.6. Коригування</w:t>
            </w:r>
          </w:p>
        </w:tc>
        <w:tc>
          <w:tcPr>
            <w:tcW w:w="8647" w:type="dxa"/>
            <w:shd w:val="clear" w:color="auto" w:fill="auto"/>
          </w:tcPr>
          <w:p w:rsidR="00B62E14" w:rsidRPr="00704833" w:rsidRDefault="00B62E14" w:rsidP="009B4F71">
            <w:pPr>
              <w:ind w:left="5" w:firstLine="394"/>
              <w:jc w:val="both"/>
            </w:pPr>
            <w:r w:rsidRPr="00704833">
              <w:t xml:space="preserve">Коригування інформації може відбуватися у процесі обробки даних ДСС і складається з опрацювання, </w:t>
            </w:r>
            <w:proofErr w:type="spellStart"/>
            <w:r w:rsidRPr="00704833">
              <w:t>валідації</w:t>
            </w:r>
            <w:proofErr w:type="spellEnd"/>
            <w:r w:rsidRPr="00704833">
              <w:t>, поєднання та редагування даних, що надійшли від респондентів та із адміністративних джерел. Методи коригування сезонних коливань для цього ДСС не передбачаються.</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t>S.18.6.1. Сезонне коригування</w:t>
            </w:r>
          </w:p>
        </w:tc>
        <w:tc>
          <w:tcPr>
            <w:tcW w:w="8647" w:type="dxa"/>
            <w:shd w:val="clear" w:color="auto" w:fill="auto"/>
          </w:tcPr>
          <w:p w:rsidR="00B62E14" w:rsidRPr="009B4F71" w:rsidRDefault="00B62E14" w:rsidP="00511EBA">
            <w:pPr>
              <w:spacing w:line="228" w:lineRule="auto"/>
              <w:ind w:firstLine="430"/>
              <w:jc w:val="both"/>
            </w:pPr>
            <w:r w:rsidRPr="009B4F71">
              <w:t>Не застосовується</w:t>
            </w:r>
            <w:r w:rsidR="00511EBA" w:rsidRPr="009B4F71">
              <w:t xml:space="preserve">. </w:t>
            </w:r>
            <w:r w:rsidRPr="009B4F71">
              <w:t xml:space="preserve">ДСС проводиться з квартальною </w:t>
            </w:r>
            <w:r w:rsidRPr="009B4F71">
              <w:lastRenderedPageBreak/>
              <w:t>періодичністю</w:t>
            </w:r>
            <w:r w:rsidR="00511EBA" w:rsidRPr="009B4F71">
              <w:t>, м</w:t>
            </w:r>
            <w:r w:rsidRPr="009B4F71">
              <w:t xml:space="preserve">етоди коригування сезонних коливань для цього ДСС не </w:t>
            </w:r>
            <w:r w:rsidR="00511EBA" w:rsidRPr="009B4F71">
              <w:t>передбачено методологією.</w:t>
            </w:r>
          </w:p>
        </w:tc>
      </w:tr>
      <w:tr w:rsidR="00B62E14" w:rsidRPr="00704833" w:rsidTr="006023BA">
        <w:tc>
          <w:tcPr>
            <w:tcW w:w="5812" w:type="dxa"/>
            <w:shd w:val="clear" w:color="auto" w:fill="auto"/>
          </w:tcPr>
          <w:p w:rsidR="00B62E14" w:rsidRPr="00704833" w:rsidRDefault="00B62E14" w:rsidP="00B62E14">
            <w:pPr>
              <w:widowControl w:val="0"/>
              <w:autoSpaceDE w:val="0"/>
              <w:autoSpaceDN w:val="0"/>
              <w:adjustRightInd w:val="0"/>
            </w:pPr>
            <w:r w:rsidRPr="00704833">
              <w:lastRenderedPageBreak/>
              <w:t>S.19. Коментарі</w:t>
            </w:r>
          </w:p>
        </w:tc>
        <w:tc>
          <w:tcPr>
            <w:tcW w:w="8647" w:type="dxa"/>
            <w:shd w:val="clear" w:color="auto" w:fill="auto"/>
          </w:tcPr>
          <w:p w:rsidR="00B62E14" w:rsidRPr="009B4F71" w:rsidRDefault="00B62E14" w:rsidP="009B4F71">
            <w:pPr>
              <w:ind w:firstLine="459"/>
              <w:jc w:val="both"/>
            </w:pPr>
            <w:r w:rsidRPr="009B4F71">
              <w:t xml:space="preserve">Упродовж найближчих років </w:t>
            </w:r>
            <w:r w:rsidR="00CE140C" w:rsidRPr="009B4F71">
              <w:t xml:space="preserve">планується подальше </w:t>
            </w:r>
            <w:r w:rsidRPr="009B4F71">
              <w:t>вдосконалення методології та звітно-статистичної документації</w:t>
            </w:r>
            <w:r w:rsidRPr="0062587E">
              <w:t>,</w:t>
            </w:r>
            <w:r w:rsidRPr="009B4F71">
              <w:t xml:space="preserve"> в частині переліку показників, джерел інформації тощо з огляду на потреби НБУ, зміни у законодавстві та методології</w:t>
            </w:r>
            <w:r w:rsidR="009B4F71" w:rsidRPr="009B4F71">
              <w:t>,</w:t>
            </w:r>
            <w:r w:rsidR="000F3DAA" w:rsidRPr="009B4F71">
              <w:t xml:space="preserve">а також </w:t>
            </w:r>
            <w:r w:rsidR="000F3DAA" w:rsidRPr="009B4F71">
              <w:rPr>
                <w:color w:val="000000" w:themeColor="text1"/>
              </w:rPr>
              <w:t>з метою імплементації положень європейських регламентів, зазначених у пункті S.6.1.</w:t>
            </w:r>
          </w:p>
        </w:tc>
      </w:tr>
    </w:tbl>
    <w:p w:rsidR="00755505" w:rsidRPr="00704833" w:rsidRDefault="00755505" w:rsidP="00B54B83">
      <w:pPr>
        <w:autoSpaceDE w:val="0"/>
        <w:autoSpaceDN w:val="0"/>
        <w:adjustRightInd w:val="0"/>
        <w:spacing w:before="120"/>
        <w:jc w:val="center"/>
        <w:rPr>
          <w:bCs/>
        </w:rPr>
      </w:pPr>
    </w:p>
    <w:sectPr w:rsidR="00755505" w:rsidRPr="00704833"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6B1" w:rsidRDefault="006326B1" w:rsidP="00D26284">
      <w:r>
        <w:separator/>
      </w:r>
    </w:p>
  </w:endnote>
  <w:endnote w:type="continuationSeparator" w:id="0">
    <w:p w:rsidR="006326B1" w:rsidRDefault="006326B1"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6B1" w:rsidRDefault="006326B1" w:rsidP="00D26284">
      <w:r>
        <w:separator/>
      </w:r>
    </w:p>
  </w:footnote>
  <w:footnote w:type="continuationSeparator" w:id="0">
    <w:p w:rsidR="006326B1" w:rsidRDefault="006326B1"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6326B1" w:rsidRDefault="006326B1">
        <w:pPr>
          <w:pStyle w:val="a9"/>
          <w:jc w:val="center"/>
        </w:pPr>
        <w:r w:rsidRPr="00890E66">
          <w:rPr>
            <w:noProof/>
            <w:sz w:val="22"/>
            <w:szCs w:val="22"/>
          </w:rPr>
          <w:fldChar w:fldCharType="begin"/>
        </w:r>
        <w:r w:rsidRPr="00890E66">
          <w:rPr>
            <w:noProof/>
            <w:sz w:val="22"/>
            <w:szCs w:val="22"/>
          </w:rPr>
          <w:instrText xml:space="preserve"> PAGE   \* MERGEFORMAT </w:instrText>
        </w:r>
        <w:r w:rsidRPr="00890E66">
          <w:rPr>
            <w:noProof/>
            <w:sz w:val="22"/>
            <w:szCs w:val="22"/>
          </w:rPr>
          <w:fldChar w:fldCharType="separate"/>
        </w:r>
        <w:r w:rsidR="00B73000">
          <w:rPr>
            <w:noProof/>
            <w:sz w:val="22"/>
            <w:szCs w:val="22"/>
          </w:rPr>
          <w:t>22</w:t>
        </w:r>
        <w:r w:rsidRPr="00890E66">
          <w:rPr>
            <w:noProof/>
            <w:sz w:val="22"/>
            <w:szCs w:val="22"/>
          </w:rPr>
          <w:fldChar w:fldCharType="end"/>
        </w:r>
      </w:p>
    </w:sdtContent>
  </w:sdt>
  <w:p w:rsidR="006326B1" w:rsidRDefault="006326B1">
    <w:pPr>
      <w:pStyle w:val="a9"/>
    </w:pPr>
  </w:p>
</w:hdr>
</file>

<file path=word/intelligence2.xml><?xml version="1.0" encoding="utf-8"?>
<int2:intelligence xmlns:int2="http://schemas.microsoft.com/office/intelligence/2020/intelligence">
  <int2:observations>
    <int2:textHash int2:hashCode="8JxLfxwD7QgEme" int2:id="y2989RD7">
      <int2:state int2:type="AugLoop_Text_Critique"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272BE"/>
    <w:multiLevelType w:val="hybridMultilevel"/>
    <w:tmpl w:val="5C0EE80A"/>
    <w:lvl w:ilvl="0" w:tplc="7D1AE8EC">
      <w:numFmt w:val="bullet"/>
      <w:lvlText w:val="-"/>
      <w:lvlJc w:val="left"/>
      <w:pPr>
        <w:ind w:left="108" w:hanging="164"/>
      </w:pPr>
      <w:rPr>
        <w:rFonts w:ascii="Times New Roman" w:eastAsia="Times New Roman" w:hAnsi="Times New Roman" w:cs="Times New Roman" w:hint="default"/>
        <w:w w:val="100"/>
        <w:sz w:val="28"/>
        <w:szCs w:val="28"/>
        <w:lang w:val="uk-UA" w:eastAsia="en-US" w:bidi="ar-SA"/>
      </w:rPr>
    </w:lvl>
    <w:lvl w:ilvl="1" w:tplc="54F261CA">
      <w:numFmt w:val="bullet"/>
      <w:lvlText w:val="•"/>
      <w:lvlJc w:val="left"/>
      <w:pPr>
        <w:ind w:left="936" w:hanging="164"/>
      </w:pPr>
      <w:rPr>
        <w:rFonts w:hint="default"/>
        <w:lang w:val="uk-UA" w:eastAsia="en-US" w:bidi="ar-SA"/>
      </w:rPr>
    </w:lvl>
    <w:lvl w:ilvl="2" w:tplc="E7A08408">
      <w:numFmt w:val="bullet"/>
      <w:lvlText w:val="•"/>
      <w:lvlJc w:val="left"/>
      <w:pPr>
        <w:ind w:left="1773" w:hanging="164"/>
      </w:pPr>
      <w:rPr>
        <w:rFonts w:hint="default"/>
        <w:lang w:val="uk-UA" w:eastAsia="en-US" w:bidi="ar-SA"/>
      </w:rPr>
    </w:lvl>
    <w:lvl w:ilvl="3" w:tplc="9494922E">
      <w:numFmt w:val="bullet"/>
      <w:lvlText w:val="•"/>
      <w:lvlJc w:val="left"/>
      <w:pPr>
        <w:ind w:left="2609" w:hanging="164"/>
      </w:pPr>
      <w:rPr>
        <w:rFonts w:hint="default"/>
        <w:lang w:val="uk-UA" w:eastAsia="en-US" w:bidi="ar-SA"/>
      </w:rPr>
    </w:lvl>
    <w:lvl w:ilvl="4" w:tplc="6EF6544E">
      <w:numFmt w:val="bullet"/>
      <w:lvlText w:val="•"/>
      <w:lvlJc w:val="left"/>
      <w:pPr>
        <w:ind w:left="3446" w:hanging="164"/>
      </w:pPr>
      <w:rPr>
        <w:rFonts w:hint="default"/>
        <w:lang w:val="uk-UA" w:eastAsia="en-US" w:bidi="ar-SA"/>
      </w:rPr>
    </w:lvl>
    <w:lvl w:ilvl="5" w:tplc="B7BEABBE">
      <w:numFmt w:val="bullet"/>
      <w:lvlText w:val="•"/>
      <w:lvlJc w:val="left"/>
      <w:pPr>
        <w:ind w:left="4283" w:hanging="164"/>
      </w:pPr>
      <w:rPr>
        <w:rFonts w:hint="default"/>
        <w:lang w:val="uk-UA" w:eastAsia="en-US" w:bidi="ar-SA"/>
      </w:rPr>
    </w:lvl>
    <w:lvl w:ilvl="6" w:tplc="2BFA69B6">
      <w:numFmt w:val="bullet"/>
      <w:lvlText w:val="•"/>
      <w:lvlJc w:val="left"/>
      <w:pPr>
        <w:ind w:left="5119" w:hanging="164"/>
      </w:pPr>
      <w:rPr>
        <w:rFonts w:hint="default"/>
        <w:lang w:val="uk-UA" w:eastAsia="en-US" w:bidi="ar-SA"/>
      </w:rPr>
    </w:lvl>
    <w:lvl w:ilvl="7" w:tplc="CC4039E0">
      <w:numFmt w:val="bullet"/>
      <w:lvlText w:val="•"/>
      <w:lvlJc w:val="left"/>
      <w:pPr>
        <w:ind w:left="5956" w:hanging="164"/>
      </w:pPr>
      <w:rPr>
        <w:rFonts w:hint="default"/>
        <w:lang w:val="uk-UA" w:eastAsia="en-US" w:bidi="ar-SA"/>
      </w:rPr>
    </w:lvl>
    <w:lvl w:ilvl="8" w:tplc="B77C8590">
      <w:numFmt w:val="bullet"/>
      <w:lvlText w:val="•"/>
      <w:lvlJc w:val="left"/>
      <w:pPr>
        <w:ind w:left="6792" w:hanging="164"/>
      </w:pPr>
      <w:rPr>
        <w:rFonts w:hint="default"/>
        <w:lang w:val="uk-UA" w:eastAsia="en-US" w:bidi="ar-SA"/>
      </w:rPr>
    </w:lvl>
  </w:abstractNum>
  <w:abstractNum w:abstractNumId="1" w15:restartNumberingAfterBreak="0">
    <w:nsid w:val="197E3BE5"/>
    <w:multiLevelType w:val="hybridMultilevel"/>
    <w:tmpl w:val="EF4CBAE2"/>
    <w:lvl w:ilvl="0" w:tplc="CCEE59B6">
      <w:start w:val="1"/>
      <w:numFmt w:val="decimal"/>
      <w:lvlText w:val="%1)"/>
      <w:lvlJc w:val="left"/>
      <w:pPr>
        <w:ind w:left="819" w:hanging="360"/>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2" w15:restartNumberingAfterBreak="0">
    <w:nsid w:val="20713568"/>
    <w:multiLevelType w:val="hybridMultilevel"/>
    <w:tmpl w:val="F712086C"/>
    <w:lvl w:ilvl="0" w:tplc="B78E59E4">
      <w:start w:val="19"/>
      <w:numFmt w:val="bullet"/>
      <w:lvlText w:val=""/>
      <w:lvlJc w:val="left"/>
      <w:pPr>
        <w:ind w:left="790" w:hanging="360"/>
      </w:pPr>
      <w:rPr>
        <w:rFonts w:ascii="Symbol" w:eastAsia="Times New Roman" w:hAnsi="Symbol" w:cs="Times New Roman"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6753C7"/>
    <w:multiLevelType w:val="hybridMultilevel"/>
    <w:tmpl w:val="AC90BE8C"/>
    <w:lvl w:ilvl="0" w:tplc="DDB4ED86">
      <w:numFmt w:val="bullet"/>
      <w:lvlText w:val="-"/>
      <w:lvlJc w:val="left"/>
      <w:pPr>
        <w:ind w:left="790" w:hanging="360"/>
      </w:pPr>
      <w:rPr>
        <w:rFonts w:ascii="Times New Roman" w:eastAsia="Times New Roman" w:hAnsi="Times New Roman" w:cs="Times New Roman"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5"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25E453D7"/>
    <w:multiLevelType w:val="hybridMultilevel"/>
    <w:tmpl w:val="25881DD4"/>
    <w:lvl w:ilvl="0" w:tplc="EC9488BC">
      <w:start w:val="1"/>
      <w:numFmt w:val="decimal"/>
      <w:lvlText w:val="%1)"/>
      <w:lvlJc w:val="left"/>
      <w:pPr>
        <w:ind w:left="1150" w:hanging="72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7"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9"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1" w15:restartNumberingAfterBreak="0">
    <w:nsid w:val="75B33107"/>
    <w:multiLevelType w:val="hybridMultilevel"/>
    <w:tmpl w:val="2EC482C6"/>
    <w:lvl w:ilvl="0" w:tplc="B908FD18">
      <w:start w:val="1"/>
      <w:numFmt w:val="decimal"/>
      <w:lvlText w:val="%1)"/>
      <w:lvlJc w:val="left"/>
      <w:pPr>
        <w:ind w:left="818" w:hanging="360"/>
      </w:pPr>
      <w:rPr>
        <w:rFonts w:hint="default"/>
      </w:rPr>
    </w:lvl>
    <w:lvl w:ilvl="1" w:tplc="04220019" w:tentative="1">
      <w:start w:val="1"/>
      <w:numFmt w:val="lowerLetter"/>
      <w:lvlText w:val="%2."/>
      <w:lvlJc w:val="left"/>
      <w:pPr>
        <w:ind w:left="1538" w:hanging="360"/>
      </w:pPr>
    </w:lvl>
    <w:lvl w:ilvl="2" w:tplc="0422001B" w:tentative="1">
      <w:start w:val="1"/>
      <w:numFmt w:val="lowerRoman"/>
      <w:lvlText w:val="%3."/>
      <w:lvlJc w:val="right"/>
      <w:pPr>
        <w:ind w:left="2258" w:hanging="180"/>
      </w:pPr>
    </w:lvl>
    <w:lvl w:ilvl="3" w:tplc="0422000F" w:tentative="1">
      <w:start w:val="1"/>
      <w:numFmt w:val="decimal"/>
      <w:lvlText w:val="%4."/>
      <w:lvlJc w:val="left"/>
      <w:pPr>
        <w:ind w:left="2978" w:hanging="360"/>
      </w:pPr>
    </w:lvl>
    <w:lvl w:ilvl="4" w:tplc="04220019" w:tentative="1">
      <w:start w:val="1"/>
      <w:numFmt w:val="lowerLetter"/>
      <w:lvlText w:val="%5."/>
      <w:lvlJc w:val="left"/>
      <w:pPr>
        <w:ind w:left="3698" w:hanging="360"/>
      </w:pPr>
    </w:lvl>
    <w:lvl w:ilvl="5" w:tplc="0422001B" w:tentative="1">
      <w:start w:val="1"/>
      <w:numFmt w:val="lowerRoman"/>
      <w:lvlText w:val="%6."/>
      <w:lvlJc w:val="right"/>
      <w:pPr>
        <w:ind w:left="4418" w:hanging="180"/>
      </w:pPr>
    </w:lvl>
    <w:lvl w:ilvl="6" w:tplc="0422000F" w:tentative="1">
      <w:start w:val="1"/>
      <w:numFmt w:val="decimal"/>
      <w:lvlText w:val="%7."/>
      <w:lvlJc w:val="left"/>
      <w:pPr>
        <w:ind w:left="5138" w:hanging="360"/>
      </w:pPr>
    </w:lvl>
    <w:lvl w:ilvl="7" w:tplc="04220019" w:tentative="1">
      <w:start w:val="1"/>
      <w:numFmt w:val="lowerLetter"/>
      <w:lvlText w:val="%8."/>
      <w:lvlJc w:val="left"/>
      <w:pPr>
        <w:ind w:left="5858" w:hanging="360"/>
      </w:pPr>
    </w:lvl>
    <w:lvl w:ilvl="8" w:tplc="0422001B" w:tentative="1">
      <w:start w:val="1"/>
      <w:numFmt w:val="lowerRoman"/>
      <w:lvlText w:val="%9."/>
      <w:lvlJc w:val="right"/>
      <w:pPr>
        <w:ind w:left="6578" w:hanging="180"/>
      </w:pPr>
    </w:lvl>
  </w:abstractNum>
  <w:num w:numId="1">
    <w:abstractNumId w:val="3"/>
  </w:num>
  <w:num w:numId="2">
    <w:abstractNumId w:val="7"/>
  </w:num>
  <w:num w:numId="3">
    <w:abstractNumId w:val="9"/>
  </w:num>
  <w:num w:numId="4">
    <w:abstractNumId w:val="8"/>
  </w:num>
  <w:num w:numId="5">
    <w:abstractNumId w:val="5"/>
  </w:num>
  <w:num w:numId="6">
    <w:abstractNumId w:val="10"/>
  </w:num>
  <w:num w:numId="7">
    <w:abstractNumId w:val="2"/>
  </w:num>
  <w:num w:numId="8">
    <w:abstractNumId w:val="1"/>
  </w:num>
  <w:num w:numId="9">
    <w:abstractNumId w:val="6"/>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5505"/>
    <w:rsid w:val="000005A9"/>
    <w:rsid w:val="00000A79"/>
    <w:rsid w:val="000013F0"/>
    <w:rsid w:val="000017C5"/>
    <w:rsid w:val="000031E8"/>
    <w:rsid w:val="00003F6B"/>
    <w:rsid w:val="000048C3"/>
    <w:rsid w:val="00004987"/>
    <w:rsid w:val="00004EAC"/>
    <w:rsid w:val="000054BF"/>
    <w:rsid w:val="000056FE"/>
    <w:rsid w:val="00005F21"/>
    <w:rsid w:val="00010A45"/>
    <w:rsid w:val="000111AB"/>
    <w:rsid w:val="00011D58"/>
    <w:rsid w:val="0001461A"/>
    <w:rsid w:val="000149A2"/>
    <w:rsid w:val="00014B28"/>
    <w:rsid w:val="00014D53"/>
    <w:rsid w:val="000156BA"/>
    <w:rsid w:val="000161C5"/>
    <w:rsid w:val="0001785B"/>
    <w:rsid w:val="000179E8"/>
    <w:rsid w:val="0002059A"/>
    <w:rsid w:val="00020763"/>
    <w:rsid w:val="00021972"/>
    <w:rsid w:val="00022F3C"/>
    <w:rsid w:val="000233BD"/>
    <w:rsid w:val="00024406"/>
    <w:rsid w:val="00025A00"/>
    <w:rsid w:val="00026035"/>
    <w:rsid w:val="00026099"/>
    <w:rsid w:val="00026214"/>
    <w:rsid w:val="00030D72"/>
    <w:rsid w:val="00030FBB"/>
    <w:rsid w:val="0003235B"/>
    <w:rsid w:val="0003312B"/>
    <w:rsid w:val="00034A26"/>
    <w:rsid w:val="00035906"/>
    <w:rsid w:val="00036404"/>
    <w:rsid w:val="000374EB"/>
    <w:rsid w:val="00040220"/>
    <w:rsid w:val="00040627"/>
    <w:rsid w:val="00040B3F"/>
    <w:rsid w:val="00042ED2"/>
    <w:rsid w:val="0004319D"/>
    <w:rsid w:val="00043CAC"/>
    <w:rsid w:val="00044843"/>
    <w:rsid w:val="00044D61"/>
    <w:rsid w:val="00046692"/>
    <w:rsid w:val="00051D11"/>
    <w:rsid w:val="00051F69"/>
    <w:rsid w:val="000532F6"/>
    <w:rsid w:val="0005699B"/>
    <w:rsid w:val="00056C36"/>
    <w:rsid w:val="00056CE1"/>
    <w:rsid w:val="00056CE3"/>
    <w:rsid w:val="00057DED"/>
    <w:rsid w:val="00057ED6"/>
    <w:rsid w:val="00061121"/>
    <w:rsid w:val="000642FD"/>
    <w:rsid w:val="0006609B"/>
    <w:rsid w:val="00066C36"/>
    <w:rsid w:val="00066E8D"/>
    <w:rsid w:val="000675C6"/>
    <w:rsid w:val="00070A50"/>
    <w:rsid w:val="000713B4"/>
    <w:rsid w:val="000716E2"/>
    <w:rsid w:val="0007217C"/>
    <w:rsid w:val="00073D67"/>
    <w:rsid w:val="00074392"/>
    <w:rsid w:val="00075AB8"/>
    <w:rsid w:val="00075C7E"/>
    <w:rsid w:val="00075F49"/>
    <w:rsid w:val="0007661D"/>
    <w:rsid w:val="00081C97"/>
    <w:rsid w:val="00081D1B"/>
    <w:rsid w:val="00084569"/>
    <w:rsid w:val="000848F2"/>
    <w:rsid w:val="00086910"/>
    <w:rsid w:val="00087698"/>
    <w:rsid w:val="0008786C"/>
    <w:rsid w:val="00087EEB"/>
    <w:rsid w:val="00092176"/>
    <w:rsid w:val="00092767"/>
    <w:rsid w:val="00092D74"/>
    <w:rsid w:val="0009591F"/>
    <w:rsid w:val="00095C21"/>
    <w:rsid w:val="00095E89"/>
    <w:rsid w:val="0009662A"/>
    <w:rsid w:val="0009675D"/>
    <w:rsid w:val="000A08F4"/>
    <w:rsid w:val="000A220B"/>
    <w:rsid w:val="000A3DB4"/>
    <w:rsid w:val="000A530B"/>
    <w:rsid w:val="000A5B60"/>
    <w:rsid w:val="000A6C38"/>
    <w:rsid w:val="000B1C90"/>
    <w:rsid w:val="000B23E6"/>
    <w:rsid w:val="000B762F"/>
    <w:rsid w:val="000B7C5E"/>
    <w:rsid w:val="000C10A1"/>
    <w:rsid w:val="000C134D"/>
    <w:rsid w:val="000C144F"/>
    <w:rsid w:val="000C293B"/>
    <w:rsid w:val="000C452D"/>
    <w:rsid w:val="000C751C"/>
    <w:rsid w:val="000D02C2"/>
    <w:rsid w:val="000D1759"/>
    <w:rsid w:val="000D25F0"/>
    <w:rsid w:val="000D3284"/>
    <w:rsid w:val="000D350A"/>
    <w:rsid w:val="000D35E1"/>
    <w:rsid w:val="000D4971"/>
    <w:rsid w:val="000D4EB5"/>
    <w:rsid w:val="000D5C7B"/>
    <w:rsid w:val="000D73A3"/>
    <w:rsid w:val="000D7663"/>
    <w:rsid w:val="000D7D40"/>
    <w:rsid w:val="000E1F0B"/>
    <w:rsid w:val="000E2F89"/>
    <w:rsid w:val="000E67A4"/>
    <w:rsid w:val="000F06A4"/>
    <w:rsid w:val="000F202B"/>
    <w:rsid w:val="000F2F8E"/>
    <w:rsid w:val="000F33D5"/>
    <w:rsid w:val="000F3876"/>
    <w:rsid w:val="000F3DAA"/>
    <w:rsid w:val="000F4022"/>
    <w:rsid w:val="000F47D2"/>
    <w:rsid w:val="000F543E"/>
    <w:rsid w:val="000F6846"/>
    <w:rsid w:val="000F7ED0"/>
    <w:rsid w:val="001007B2"/>
    <w:rsid w:val="001015C1"/>
    <w:rsid w:val="00102BFB"/>
    <w:rsid w:val="001037AE"/>
    <w:rsid w:val="001045C2"/>
    <w:rsid w:val="001051F2"/>
    <w:rsid w:val="001061E3"/>
    <w:rsid w:val="00106D5E"/>
    <w:rsid w:val="001070A2"/>
    <w:rsid w:val="001074E1"/>
    <w:rsid w:val="00107E16"/>
    <w:rsid w:val="00110583"/>
    <w:rsid w:val="00110B29"/>
    <w:rsid w:val="00114D62"/>
    <w:rsid w:val="00115442"/>
    <w:rsid w:val="0011555E"/>
    <w:rsid w:val="00117FEC"/>
    <w:rsid w:val="001203F6"/>
    <w:rsid w:val="00121596"/>
    <w:rsid w:val="00121A4A"/>
    <w:rsid w:val="00121CB1"/>
    <w:rsid w:val="00122831"/>
    <w:rsid w:val="00123FF2"/>
    <w:rsid w:val="00124172"/>
    <w:rsid w:val="00125EEC"/>
    <w:rsid w:val="001267F2"/>
    <w:rsid w:val="0012714C"/>
    <w:rsid w:val="0012768F"/>
    <w:rsid w:val="00127CA1"/>
    <w:rsid w:val="001309CE"/>
    <w:rsid w:val="00131B77"/>
    <w:rsid w:val="00133576"/>
    <w:rsid w:val="001337EC"/>
    <w:rsid w:val="00134C63"/>
    <w:rsid w:val="00134D4D"/>
    <w:rsid w:val="00134D92"/>
    <w:rsid w:val="001365A3"/>
    <w:rsid w:val="001378AF"/>
    <w:rsid w:val="00137AA5"/>
    <w:rsid w:val="00140B9D"/>
    <w:rsid w:val="00143E4E"/>
    <w:rsid w:val="00145A06"/>
    <w:rsid w:val="00145EEB"/>
    <w:rsid w:val="00145EF8"/>
    <w:rsid w:val="00147CEF"/>
    <w:rsid w:val="001512B6"/>
    <w:rsid w:val="001517C3"/>
    <w:rsid w:val="00152CD9"/>
    <w:rsid w:val="00154EEC"/>
    <w:rsid w:val="001550D0"/>
    <w:rsid w:val="00155A2E"/>
    <w:rsid w:val="0015614A"/>
    <w:rsid w:val="00160215"/>
    <w:rsid w:val="00161AF7"/>
    <w:rsid w:val="001626F8"/>
    <w:rsid w:val="001630B6"/>
    <w:rsid w:val="0016474C"/>
    <w:rsid w:val="00165359"/>
    <w:rsid w:val="00165B48"/>
    <w:rsid w:val="001662F0"/>
    <w:rsid w:val="001712AD"/>
    <w:rsid w:val="00171E3D"/>
    <w:rsid w:val="00171FA8"/>
    <w:rsid w:val="0017308F"/>
    <w:rsid w:val="001737EC"/>
    <w:rsid w:val="00174316"/>
    <w:rsid w:val="00174369"/>
    <w:rsid w:val="00182ABE"/>
    <w:rsid w:val="00183E07"/>
    <w:rsid w:val="00185532"/>
    <w:rsid w:val="001874D6"/>
    <w:rsid w:val="00187B4C"/>
    <w:rsid w:val="0019030E"/>
    <w:rsid w:val="00190AF7"/>
    <w:rsid w:val="00191324"/>
    <w:rsid w:val="001935D7"/>
    <w:rsid w:val="00194E10"/>
    <w:rsid w:val="00194F13"/>
    <w:rsid w:val="00195164"/>
    <w:rsid w:val="001951CB"/>
    <w:rsid w:val="0019570F"/>
    <w:rsid w:val="001A3D99"/>
    <w:rsid w:val="001A759A"/>
    <w:rsid w:val="001A7C64"/>
    <w:rsid w:val="001B29D5"/>
    <w:rsid w:val="001B2C08"/>
    <w:rsid w:val="001B3704"/>
    <w:rsid w:val="001B3A71"/>
    <w:rsid w:val="001B4929"/>
    <w:rsid w:val="001B7AB2"/>
    <w:rsid w:val="001C0325"/>
    <w:rsid w:val="001C0EC7"/>
    <w:rsid w:val="001C298A"/>
    <w:rsid w:val="001C34D7"/>
    <w:rsid w:val="001C3C3F"/>
    <w:rsid w:val="001C540B"/>
    <w:rsid w:val="001D054D"/>
    <w:rsid w:val="001D0939"/>
    <w:rsid w:val="001D0B84"/>
    <w:rsid w:val="001D0F1B"/>
    <w:rsid w:val="001D129E"/>
    <w:rsid w:val="001D2409"/>
    <w:rsid w:val="001D27A6"/>
    <w:rsid w:val="001D5AF5"/>
    <w:rsid w:val="001D6617"/>
    <w:rsid w:val="001D7237"/>
    <w:rsid w:val="001D76EE"/>
    <w:rsid w:val="001D7FA4"/>
    <w:rsid w:val="001E0846"/>
    <w:rsid w:val="001E1ECC"/>
    <w:rsid w:val="001E27C8"/>
    <w:rsid w:val="001E485F"/>
    <w:rsid w:val="001E5EC8"/>
    <w:rsid w:val="001E772D"/>
    <w:rsid w:val="001F0C4C"/>
    <w:rsid w:val="001F0CDD"/>
    <w:rsid w:val="001F1D4B"/>
    <w:rsid w:val="001F2E48"/>
    <w:rsid w:val="001F7D55"/>
    <w:rsid w:val="002009C9"/>
    <w:rsid w:val="00201799"/>
    <w:rsid w:val="002038DC"/>
    <w:rsid w:val="0020405B"/>
    <w:rsid w:val="00204217"/>
    <w:rsid w:val="00204773"/>
    <w:rsid w:val="00205326"/>
    <w:rsid w:val="00205AE7"/>
    <w:rsid w:val="00206DA1"/>
    <w:rsid w:val="00207C88"/>
    <w:rsid w:val="002109B6"/>
    <w:rsid w:val="00210BE8"/>
    <w:rsid w:val="00210E02"/>
    <w:rsid w:val="00211E28"/>
    <w:rsid w:val="00214613"/>
    <w:rsid w:val="00215019"/>
    <w:rsid w:val="002152EB"/>
    <w:rsid w:val="0021624A"/>
    <w:rsid w:val="002167D6"/>
    <w:rsid w:val="00217F9F"/>
    <w:rsid w:val="0022338E"/>
    <w:rsid w:val="002250B2"/>
    <w:rsid w:val="002277C6"/>
    <w:rsid w:val="002300B2"/>
    <w:rsid w:val="002315B6"/>
    <w:rsid w:val="00231667"/>
    <w:rsid w:val="002326C4"/>
    <w:rsid w:val="00237211"/>
    <w:rsid w:val="00237634"/>
    <w:rsid w:val="00240390"/>
    <w:rsid w:val="002417FA"/>
    <w:rsid w:val="00241DA1"/>
    <w:rsid w:val="00242CB7"/>
    <w:rsid w:val="0024530E"/>
    <w:rsid w:val="00250468"/>
    <w:rsid w:val="002538C4"/>
    <w:rsid w:val="00253A6B"/>
    <w:rsid w:val="00253DF0"/>
    <w:rsid w:val="0025644F"/>
    <w:rsid w:val="00256F79"/>
    <w:rsid w:val="00257C58"/>
    <w:rsid w:val="00263441"/>
    <w:rsid w:val="0026399E"/>
    <w:rsid w:val="00267103"/>
    <w:rsid w:val="00267125"/>
    <w:rsid w:val="00270372"/>
    <w:rsid w:val="0027317C"/>
    <w:rsid w:val="00277258"/>
    <w:rsid w:val="00277D00"/>
    <w:rsid w:val="00280C13"/>
    <w:rsid w:val="00281252"/>
    <w:rsid w:val="00281FAA"/>
    <w:rsid w:val="00282296"/>
    <w:rsid w:val="0028290A"/>
    <w:rsid w:val="00282CF1"/>
    <w:rsid w:val="0028355C"/>
    <w:rsid w:val="0028358B"/>
    <w:rsid w:val="00285B1B"/>
    <w:rsid w:val="00287BFC"/>
    <w:rsid w:val="00287EC7"/>
    <w:rsid w:val="0029052B"/>
    <w:rsid w:val="002937E1"/>
    <w:rsid w:val="002960F5"/>
    <w:rsid w:val="002A0A53"/>
    <w:rsid w:val="002A172F"/>
    <w:rsid w:val="002A1945"/>
    <w:rsid w:val="002A1F85"/>
    <w:rsid w:val="002A6F58"/>
    <w:rsid w:val="002A7418"/>
    <w:rsid w:val="002B13F6"/>
    <w:rsid w:val="002B3961"/>
    <w:rsid w:val="002B4947"/>
    <w:rsid w:val="002B54AE"/>
    <w:rsid w:val="002B573F"/>
    <w:rsid w:val="002B6030"/>
    <w:rsid w:val="002B627F"/>
    <w:rsid w:val="002B7BA4"/>
    <w:rsid w:val="002C115D"/>
    <w:rsid w:val="002C6746"/>
    <w:rsid w:val="002C675D"/>
    <w:rsid w:val="002C7746"/>
    <w:rsid w:val="002D2EE1"/>
    <w:rsid w:val="002D3329"/>
    <w:rsid w:val="002D495B"/>
    <w:rsid w:val="002D61D1"/>
    <w:rsid w:val="002D78DE"/>
    <w:rsid w:val="002D7A00"/>
    <w:rsid w:val="002E1690"/>
    <w:rsid w:val="002E23ED"/>
    <w:rsid w:val="002E5257"/>
    <w:rsid w:val="002E706D"/>
    <w:rsid w:val="002F1250"/>
    <w:rsid w:val="002F1AA7"/>
    <w:rsid w:val="002F27B5"/>
    <w:rsid w:val="002F60F7"/>
    <w:rsid w:val="002F692E"/>
    <w:rsid w:val="002F6DFD"/>
    <w:rsid w:val="002F714A"/>
    <w:rsid w:val="002F71B7"/>
    <w:rsid w:val="002F72F2"/>
    <w:rsid w:val="00300E08"/>
    <w:rsid w:val="00301ECB"/>
    <w:rsid w:val="00302641"/>
    <w:rsid w:val="0030405A"/>
    <w:rsid w:val="0030411A"/>
    <w:rsid w:val="00304A2A"/>
    <w:rsid w:val="00304E84"/>
    <w:rsid w:val="00306A92"/>
    <w:rsid w:val="00306D05"/>
    <w:rsid w:val="00306EC3"/>
    <w:rsid w:val="00307DBE"/>
    <w:rsid w:val="003109D5"/>
    <w:rsid w:val="00313CEB"/>
    <w:rsid w:val="00314128"/>
    <w:rsid w:val="0031601C"/>
    <w:rsid w:val="00316D48"/>
    <w:rsid w:val="00316E39"/>
    <w:rsid w:val="00317605"/>
    <w:rsid w:val="0031786B"/>
    <w:rsid w:val="00317948"/>
    <w:rsid w:val="00321189"/>
    <w:rsid w:val="003213F7"/>
    <w:rsid w:val="0032458F"/>
    <w:rsid w:val="0032743A"/>
    <w:rsid w:val="003274FB"/>
    <w:rsid w:val="003276DE"/>
    <w:rsid w:val="00330BF1"/>
    <w:rsid w:val="00334187"/>
    <w:rsid w:val="0033553C"/>
    <w:rsid w:val="00335941"/>
    <w:rsid w:val="00337BCE"/>
    <w:rsid w:val="003426E2"/>
    <w:rsid w:val="003445D6"/>
    <w:rsid w:val="0034610F"/>
    <w:rsid w:val="003462A7"/>
    <w:rsid w:val="00346F4D"/>
    <w:rsid w:val="00347995"/>
    <w:rsid w:val="00350351"/>
    <w:rsid w:val="00350C54"/>
    <w:rsid w:val="00352344"/>
    <w:rsid w:val="003525E5"/>
    <w:rsid w:val="00352851"/>
    <w:rsid w:val="00355FC4"/>
    <w:rsid w:val="00360018"/>
    <w:rsid w:val="00360633"/>
    <w:rsid w:val="00361C36"/>
    <w:rsid w:val="003623D4"/>
    <w:rsid w:val="003644C1"/>
    <w:rsid w:val="003657CA"/>
    <w:rsid w:val="00366C82"/>
    <w:rsid w:val="0036725E"/>
    <w:rsid w:val="003703BB"/>
    <w:rsid w:val="00370788"/>
    <w:rsid w:val="00371AD0"/>
    <w:rsid w:val="003729C9"/>
    <w:rsid w:val="003737A6"/>
    <w:rsid w:val="00374661"/>
    <w:rsid w:val="00374725"/>
    <w:rsid w:val="00375DAB"/>
    <w:rsid w:val="00376118"/>
    <w:rsid w:val="0037637F"/>
    <w:rsid w:val="00376553"/>
    <w:rsid w:val="00381280"/>
    <w:rsid w:val="003826C2"/>
    <w:rsid w:val="00382E80"/>
    <w:rsid w:val="003830EE"/>
    <w:rsid w:val="00383598"/>
    <w:rsid w:val="003843BC"/>
    <w:rsid w:val="0038759F"/>
    <w:rsid w:val="00390239"/>
    <w:rsid w:val="00393BFA"/>
    <w:rsid w:val="00393C9D"/>
    <w:rsid w:val="00395A8F"/>
    <w:rsid w:val="00396E10"/>
    <w:rsid w:val="003A3A32"/>
    <w:rsid w:val="003A4F52"/>
    <w:rsid w:val="003A602A"/>
    <w:rsid w:val="003A638C"/>
    <w:rsid w:val="003B10F5"/>
    <w:rsid w:val="003B30D5"/>
    <w:rsid w:val="003B50E8"/>
    <w:rsid w:val="003B56EB"/>
    <w:rsid w:val="003B6972"/>
    <w:rsid w:val="003B72A2"/>
    <w:rsid w:val="003B7A45"/>
    <w:rsid w:val="003C053A"/>
    <w:rsid w:val="003C0C7D"/>
    <w:rsid w:val="003C1EA7"/>
    <w:rsid w:val="003C2F22"/>
    <w:rsid w:val="003C47D7"/>
    <w:rsid w:val="003C606C"/>
    <w:rsid w:val="003C67BD"/>
    <w:rsid w:val="003D0EB5"/>
    <w:rsid w:val="003D35B6"/>
    <w:rsid w:val="003D3A48"/>
    <w:rsid w:val="003D4A60"/>
    <w:rsid w:val="003E0D2C"/>
    <w:rsid w:val="003E17E0"/>
    <w:rsid w:val="003E1A58"/>
    <w:rsid w:val="003E1B91"/>
    <w:rsid w:val="003E1D8F"/>
    <w:rsid w:val="003E3188"/>
    <w:rsid w:val="003E3632"/>
    <w:rsid w:val="003E6ECE"/>
    <w:rsid w:val="003E734C"/>
    <w:rsid w:val="003F027C"/>
    <w:rsid w:val="003F1630"/>
    <w:rsid w:val="003F28F1"/>
    <w:rsid w:val="003F2A96"/>
    <w:rsid w:val="003F2EE9"/>
    <w:rsid w:val="003F5AC6"/>
    <w:rsid w:val="003F6271"/>
    <w:rsid w:val="003F6946"/>
    <w:rsid w:val="003F6BA2"/>
    <w:rsid w:val="003F7D76"/>
    <w:rsid w:val="00402414"/>
    <w:rsid w:val="00402990"/>
    <w:rsid w:val="00405383"/>
    <w:rsid w:val="00406296"/>
    <w:rsid w:val="004103DC"/>
    <w:rsid w:val="00410415"/>
    <w:rsid w:val="00412FE4"/>
    <w:rsid w:val="004137DD"/>
    <w:rsid w:val="0041470A"/>
    <w:rsid w:val="00415F47"/>
    <w:rsid w:val="00420DF1"/>
    <w:rsid w:val="00421D35"/>
    <w:rsid w:val="00424825"/>
    <w:rsid w:val="00424AAF"/>
    <w:rsid w:val="00424F85"/>
    <w:rsid w:val="0042520F"/>
    <w:rsid w:val="00425CD8"/>
    <w:rsid w:val="00426004"/>
    <w:rsid w:val="00426ACF"/>
    <w:rsid w:val="00426FB8"/>
    <w:rsid w:val="004274DD"/>
    <w:rsid w:val="00427E1C"/>
    <w:rsid w:val="0043273D"/>
    <w:rsid w:val="00435BEA"/>
    <w:rsid w:val="0043619D"/>
    <w:rsid w:val="0044136C"/>
    <w:rsid w:val="00441813"/>
    <w:rsid w:val="00441DF0"/>
    <w:rsid w:val="00441F3A"/>
    <w:rsid w:val="00442A63"/>
    <w:rsid w:val="00444379"/>
    <w:rsid w:val="00445754"/>
    <w:rsid w:val="00450483"/>
    <w:rsid w:val="0045131E"/>
    <w:rsid w:val="00451541"/>
    <w:rsid w:val="004517C0"/>
    <w:rsid w:val="00452FBF"/>
    <w:rsid w:val="00454196"/>
    <w:rsid w:val="0045615C"/>
    <w:rsid w:val="00457DEA"/>
    <w:rsid w:val="004607A6"/>
    <w:rsid w:val="00461074"/>
    <w:rsid w:val="00461356"/>
    <w:rsid w:val="00462438"/>
    <w:rsid w:val="00462668"/>
    <w:rsid w:val="00462AB6"/>
    <w:rsid w:val="0046365D"/>
    <w:rsid w:val="00467497"/>
    <w:rsid w:val="00467836"/>
    <w:rsid w:val="00471598"/>
    <w:rsid w:val="00472DB5"/>
    <w:rsid w:val="00473396"/>
    <w:rsid w:val="00474EA9"/>
    <w:rsid w:val="0047539C"/>
    <w:rsid w:val="00475CC6"/>
    <w:rsid w:val="00476144"/>
    <w:rsid w:val="00480D9F"/>
    <w:rsid w:val="00480F99"/>
    <w:rsid w:val="00480FC3"/>
    <w:rsid w:val="004812D7"/>
    <w:rsid w:val="00482A3F"/>
    <w:rsid w:val="00486066"/>
    <w:rsid w:val="00490846"/>
    <w:rsid w:val="00490A59"/>
    <w:rsid w:val="00490C44"/>
    <w:rsid w:val="004914D1"/>
    <w:rsid w:val="00492109"/>
    <w:rsid w:val="004922A6"/>
    <w:rsid w:val="00493E04"/>
    <w:rsid w:val="00496423"/>
    <w:rsid w:val="004A0208"/>
    <w:rsid w:val="004A4000"/>
    <w:rsid w:val="004A4609"/>
    <w:rsid w:val="004A6B64"/>
    <w:rsid w:val="004A71CE"/>
    <w:rsid w:val="004A7669"/>
    <w:rsid w:val="004B09F8"/>
    <w:rsid w:val="004B138B"/>
    <w:rsid w:val="004B22ED"/>
    <w:rsid w:val="004B3017"/>
    <w:rsid w:val="004B3BD2"/>
    <w:rsid w:val="004B492F"/>
    <w:rsid w:val="004B56B3"/>
    <w:rsid w:val="004B5CA7"/>
    <w:rsid w:val="004B6F8A"/>
    <w:rsid w:val="004C0CDB"/>
    <w:rsid w:val="004C37B4"/>
    <w:rsid w:val="004C50DD"/>
    <w:rsid w:val="004C5779"/>
    <w:rsid w:val="004D063C"/>
    <w:rsid w:val="004D255D"/>
    <w:rsid w:val="004D3545"/>
    <w:rsid w:val="004D6FBC"/>
    <w:rsid w:val="004E3A7D"/>
    <w:rsid w:val="004E3CB7"/>
    <w:rsid w:val="004E5FCE"/>
    <w:rsid w:val="004E7345"/>
    <w:rsid w:val="004E7BD5"/>
    <w:rsid w:val="004F0D83"/>
    <w:rsid w:val="004F1205"/>
    <w:rsid w:val="004F2633"/>
    <w:rsid w:val="004F5DF8"/>
    <w:rsid w:val="004F6C88"/>
    <w:rsid w:val="004F6EFA"/>
    <w:rsid w:val="004F7042"/>
    <w:rsid w:val="005012A0"/>
    <w:rsid w:val="005028D7"/>
    <w:rsid w:val="00502AF4"/>
    <w:rsid w:val="00503845"/>
    <w:rsid w:val="00504963"/>
    <w:rsid w:val="00504F32"/>
    <w:rsid w:val="00505D9C"/>
    <w:rsid w:val="00507DBB"/>
    <w:rsid w:val="00510EBD"/>
    <w:rsid w:val="00511490"/>
    <w:rsid w:val="0051176C"/>
    <w:rsid w:val="00511EBA"/>
    <w:rsid w:val="00512DBD"/>
    <w:rsid w:val="00514F51"/>
    <w:rsid w:val="00515C2E"/>
    <w:rsid w:val="00516E73"/>
    <w:rsid w:val="00516F05"/>
    <w:rsid w:val="00520953"/>
    <w:rsid w:val="005229E9"/>
    <w:rsid w:val="00524040"/>
    <w:rsid w:val="00525611"/>
    <w:rsid w:val="005256E3"/>
    <w:rsid w:val="0052635D"/>
    <w:rsid w:val="00526B09"/>
    <w:rsid w:val="0052714B"/>
    <w:rsid w:val="0053132A"/>
    <w:rsid w:val="00532609"/>
    <w:rsid w:val="00533E16"/>
    <w:rsid w:val="00534B56"/>
    <w:rsid w:val="005358D2"/>
    <w:rsid w:val="00536EF2"/>
    <w:rsid w:val="0054078F"/>
    <w:rsid w:val="005431D2"/>
    <w:rsid w:val="00547CF9"/>
    <w:rsid w:val="005503D8"/>
    <w:rsid w:val="00553457"/>
    <w:rsid w:val="00555EA2"/>
    <w:rsid w:val="005563A7"/>
    <w:rsid w:val="00556CB8"/>
    <w:rsid w:val="0055780F"/>
    <w:rsid w:val="00562F21"/>
    <w:rsid w:val="00564252"/>
    <w:rsid w:val="005645C6"/>
    <w:rsid w:val="00564F68"/>
    <w:rsid w:val="00566376"/>
    <w:rsid w:val="00571A09"/>
    <w:rsid w:val="00572CD8"/>
    <w:rsid w:val="00574B0E"/>
    <w:rsid w:val="00574C44"/>
    <w:rsid w:val="005756B5"/>
    <w:rsid w:val="00582497"/>
    <w:rsid w:val="00586246"/>
    <w:rsid w:val="00586DA3"/>
    <w:rsid w:val="005875A7"/>
    <w:rsid w:val="00591F11"/>
    <w:rsid w:val="005922B6"/>
    <w:rsid w:val="00592F0C"/>
    <w:rsid w:val="00593D38"/>
    <w:rsid w:val="00596B5F"/>
    <w:rsid w:val="00596E17"/>
    <w:rsid w:val="00597192"/>
    <w:rsid w:val="0059769F"/>
    <w:rsid w:val="005A223A"/>
    <w:rsid w:val="005A4BFF"/>
    <w:rsid w:val="005A5CD6"/>
    <w:rsid w:val="005A71A1"/>
    <w:rsid w:val="005B0A67"/>
    <w:rsid w:val="005B1054"/>
    <w:rsid w:val="005B11A3"/>
    <w:rsid w:val="005B26A0"/>
    <w:rsid w:val="005B32C9"/>
    <w:rsid w:val="005B69F0"/>
    <w:rsid w:val="005B6F17"/>
    <w:rsid w:val="005B7436"/>
    <w:rsid w:val="005C05B9"/>
    <w:rsid w:val="005C0AAF"/>
    <w:rsid w:val="005C1022"/>
    <w:rsid w:val="005C1934"/>
    <w:rsid w:val="005C2896"/>
    <w:rsid w:val="005C384B"/>
    <w:rsid w:val="005C4968"/>
    <w:rsid w:val="005C4D92"/>
    <w:rsid w:val="005C65B8"/>
    <w:rsid w:val="005D01F4"/>
    <w:rsid w:val="005D12A2"/>
    <w:rsid w:val="005D35BB"/>
    <w:rsid w:val="005D3F07"/>
    <w:rsid w:val="005D55B3"/>
    <w:rsid w:val="005D6DEC"/>
    <w:rsid w:val="005E010B"/>
    <w:rsid w:val="005E04A5"/>
    <w:rsid w:val="005E1895"/>
    <w:rsid w:val="005E2298"/>
    <w:rsid w:val="005E34FC"/>
    <w:rsid w:val="005E37EE"/>
    <w:rsid w:val="005E455E"/>
    <w:rsid w:val="005E7822"/>
    <w:rsid w:val="005F0991"/>
    <w:rsid w:val="005F1763"/>
    <w:rsid w:val="005F3F4D"/>
    <w:rsid w:val="005F40B6"/>
    <w:rsid w:val="005F429F"/>
    <w:rsid w:val="005F54A9"/>
    <w:rsid w:val="005F5EAB"/>
    <w:rsid w:val="005F638A"/>
    <w:rsid w:val="005F7098"/>
    <w:rsid w:val="00601E18"/>
    <w:rsid w:val="006023A4"/>
    <w:rsid w:val="006023BA"/>
    <w:rsid w:val="00605294"/>
    <w:rsid w:val="00605B4B"/>
    <w:rsid w:val="00606B7E"/>
    <w:rsid w:val="00606FBE"/>
    <w:rsid w:val="006077D7"/>
    <w:rsid w:val="0061122E"/>
    <w:rsid w:val="00612AF9"/>
    <w:rsid w:val="006172BF"/>
    <w:rsid w:val="006205C9"/>
    <w:rsid w:val="0062176B"/>
    <w:rsid w:val="0062587E"/>
    <w:rsid w:val="006264DE"/>
    <w:rsid w:val="00627F78"/>
    <w:rsid w:val="0063085F"/>
    <w:rsid w:val="00630B84"/>
    <w:rsid w:val="00630D44"/>
    <w:rsid w:val="006310E5"/>
    <w:rsid w:val="00631622"/>
    <w:rsid w:val="006326B1"/>
    <w:rsid w:val="006329AD"/>
    <w:rsid w:val="00633AFA"/>
    <w:rsid w:val="006361DF"/>
    <w:rsid w:val="0063651D"/>
    <w:rsid w:val="00637EE7"/>
    <w:rsid w:val="0064004C"/>
    <w:rsid w:val="006400E3"/>
    <w:rsid w:val="00640855"/>
    <w:rsid w:val="00640B29"/>
    <w:rsid w:val="00640D7D"/>
    <w:rsid w:val="006425C4"/>
    <w:rsid w:val="00644708"/>
    <w:rsid w:val="006450A7"/>
    <w:rsid w:val="006463BB"/>
    <w:rsid w:val="006477FE"/>
    <w:rsid w:val="006512E5"/>
    <w:rsid w:val="00651C0E"/>
    <w:rsid w:val="00652A72"/>
    <w:rsid w:val="0065362E"/>
    <w:rsid w:val="0065779E"/>
    <w:rsid w:val="00660A4B"/>
    <w:rsid w:val="00660A83"/>
    <w:rsid w:val="006617A7"/>
    <w:rsid w:val="00663BE9"/>
    <w:rsid w:val="0066458A"/>
    <w:rsid w:val="0066477C"/>
    <w:rsid w:val="0066547E"/>
    <w:rsid w:val="0067104B"/>
    <w:rsid w:val="0067229D"/>
    <w:rsid w:val="006725D5"/>
    <w:rsid w:val="00672AA5"/>
    <w:rsid w:val="006750D4"/>
    <w:rsid w:val="00675261"/>
    <w:rsid w:val="00675E0A"/>
    <w:rsid w:val="006775A4"/>
    <w:rsid w:val="00683689"/>
    <w:rsid w:val="006836EA"/>
    <w:rsid w:val="00683DD1"/>
    <w:rsid w:val="006843D6"/>
    <w:rsid w:val="00684B6D"/>
    <w:rsid w:val="00685A18"/>
    <w:rsid w:val="00685FF1"/>
    <w:rsid w:val="0068619C"/>
    <w:rsid w:val="006877DD"/>
    <w:rsid w:val="006909E2"/>
    <w:rsid w:val="00691040"/>
    <w:rsid w:val="00691404"/>
    <w:rsid w:val="00692BF9"/>
    <w:rsid w:val="006930EB"/>
    <w:rsid w:val="00693468"/>
    <w:rsid w:val="006949D8"/>
    <w:rsid w:val="00696E4F"/>
    <w:rsid w:val="006A0B33"/>
    <w:rsid w:val="006A1FBA"/>
    <w:rsid w:val="006A499E"/>
    <w:rsid w:val="006A5422"/>
    <w:rsid w:val="006A6AD6"/>
    <w:rsid w:val="006A7672"/>
    <w:rsid w:val="006B0BD3"/>
    <w:rsid w:val="006B1032"/>
    <w:rsid w:val="006B154C"/>
    <w:rsid w:val="006B1E4F"/>
    <w:rsid w:val="006B2587"/>
    <w:rsid w:val="006B2EAC"/>
    <w:rsid w:val="006B417D"/>
    <w:rsid w:val="006B66E1"/>
    <w:rsid w:val="006B6FBD"/>
    <w:rsid w:val="006C111B"/>
    <w:rsid w:val="006C1287"/>
    <w:rsid w:val="006C1BBE"/>
    <w:rsid w:val="006C1DCE"/>
    <w:rsid w:val="006C22B7"/>
    <w:rsid w:val="006C24C4"/>
    <w:rsid w:val="006C3800"/>
    <w:rsid w:val="006C3D0F"/>
    <w:rsid w:val="006C4C71"/>
    <w:rsid w:val="006C5562"/>
    <w:rsid w:val="006D0B81"/>
    <w:rsid w:val="006D2792"/>
    <w:rsid w:val="006D2CF5"/>
    <w:rsid w:val="006D3013"/>
    <w:rsid w:val="006D3135"/>
    <w:rsid w:val="006D467E"/>
    <w:rsid w:val="006D4AA4"/>
    <w:rsid w:val="006D5B64"/>
    <w:rsid w:val="006D5F82"/>
    <w:rsid w:val="006D6C73"/>
    <w:rsid w:val="006E23D2"/>
    <w:rsid w:val="006E2B4F"/>
    <w:rsid w:val="006E5933"/>
    <w:rsid w:val="006F2582"/>
    <w:rsid w:val="006F3B13"/>
    <w:rsid w:val="006F523B"/>
    <w:rsid w:val="006F71F8"/>
    <w:rsid w:val="00700483"/>
    <w:rsid w:val="007010A8"/>
    <w:rsid w:val="007023B6"/>
    <w:rsid w:val="0070297E"/>
    <w:rsid w:val="00702E46"/>
    <w:rsid w:val="00704833"/>
    <w:rsid w:val="00705442"/>
    <w:rsid w:val="007078C1"/>
    <w:rsid w:val="00712C03"/>
    <w:rsid w:val="00713528"/>
    <w:rsid w:val="00713697"/>
    <w:rsid w:val="0071406B"/>
    <w:rsid w:val="00716E04"/>
    <w:rsid w:val="0071731F"/>
    <w:rsid w:val="00720816"/>
    <w:rsid w:val="00720C23"/>
    <w:rsid w:val="007221AB"/>
    <w:rsid w:val="00723C6D"/>
    <w:rsid w:val="007258F2"/>
    <w:rsid w:val="00726AE1"/>
    <w:rsid w:val="00731C52"/>
    <w:rsid w:val="00733F37"/>
    <w:rsid w:val="00734A14"/>
    <w:rsid w:val="007357A4"/>
    <w:rsid w:val="00735B85"/>
    <w:rsid w:val="00735E97"/>
    <w:rsid w:val="0073742F"/>
    <w:rsid w:val="007378C8"/>
    <w:rsid w:val="00741164"/>
    <w:rsid w:val="00741DC7"/>
    <w:rsid w:val="0074461C"/>
    <w:rsid w:val="007465F5"/>
    <w:rsid w:val="00746B01"/>
    <w:rsid w:val="00750003"/>
    <w:rsid w:val="00750D32"/>
    <w:rsid w:val="0075515D"/>
    <w:rsid w:val="0075516C"/>
    <w:rsid w:val="00755505"/>
    <w:rsid w:val="00756FD2"/>
    <w:rsid w:val="00757B35"/>
    <w:rsid w:val="00757B58"/>
    <w:rsid w:val="00761E4D"/>
    <w:rsid w:val="00762E23"/>
    <w:rsid w:val="00766E26"/>
    <w:rsid w:val="007671ED"/>
    <w:rsid w:val="00770166"/>
    <w:rsid w:val="007704BF"/>
    <w:rsid w:val="007707B8"/>
    <w:rsid w:val="00770A65"/>
    <w:rsid w:val="0077121C"/>
    <w:rsid w:val="00771674"/>
    <w:rsid w:val="007728B0"/>
    <w:rsid w:val="00772A1A"/>
    <w:rsid w:val="00773B8D"/>
    <w:rsid w:val="00780CA2"/>
    <w:rsid w:val="00780F6E"/>
    <w:rsid w:val="0078182C"/>
    <w:rsid w:val="00782672"/>
    <w:rsid w:val="00782DB2"/>
    <w:rsid w:val="00784B06"/>
    <w:rsid w:val="00787665"/>
    <w:rsid w:val="00787D13"/>
    <w:rsid w:val="00790536"/>
    <w:rsid w:val="007938A0"/>
    <w:rsid w:val="00793F3A"/>
    <w:rsid w:val="00794210"/>
    <w:rsid w:val="00794B66"/>
    <w:rsid w:val="00795081"/>
    <w:rsid w:val="007950EF"/>
    <w:rsid w:val="00795FE1"/>
    <w:rsid w:val="0079633D"/>
    <w:rsid w:val="00796776"/>
    <w:rsid w:val="007A2B71"/>
    <w:rsid w:val="007A49CB"/>
    <w:rsid w:val="007A4B36"/>
    <w:rsid w:val="007A5C07"/>
    <w:rsid w:val="007A5DE2"/>
    <w:rsid w:val="007A5E45"/>
    <w:rsid w:val="007A63DD"/>
    <w:rsid w:val="007B123B"/>
    <w:rsid w:val="007B198F"/>
    <w:rsid w:val="007B1E25"/>
    <w:rsid w:val="007B360D"/>
    <w:rsid w:val="007B4232"/>
    <w:rsid w:val="007B4BF3"/>
    <w:rsid w:val="007B53AA"/>
    <w:rsid w:val="007B5ECA"/>
    <w:rsid w:val="007B5F5A"/>
    <w:rsid w:val="007B6421"/>
    <w:rsid w:val="007B7101"/>
    <w:rsid w:val="007C0C68"/>
    <w:rsid w:val="007C1BCC"/>
    <w:rsid w:val="007D1426"/>
    <w:rsid w:val="007D14A6"/>
    <w:rsid w:val="007D1F92"/>
    <w:rsid w:val="007D39A7"/>
    <w:rsid w:val="007D43B1"/>
    <w:rsid w:val="007D49E8"/>
    <w:rsid w:val="007D5508"/>
    <w:rsid w:val="007D5DEC"/>
    <w:rsid w:val="007D6F5E"/>
    <w:rsid w:val="007D7ADA"/>
    <w:rsid w:val="007E0924"/>
    <w:rsid w:val="007E1BFF"/>
    <w:rsid w:val="007E2686"/>
    <w:rsid w:val="007E3E0F"/>
    <w:rsid w:val="007E4B77"/>
    <w:rsid w:val="007E4BF0"/>
    <w:rsid w:val="007E540C"/>
    <w:rsid w:val="007E6541"/>
    <w:rsid w:val="007E7DB6"/>
    <w:rsid w:val="007F11F8"/>
    <w:rsid w:val="007F150B"/>
    <w:rsid w:val="007F46B1"/>
    <w:rsid w:val="007F5317"/>
    <w:rsid w:val="007F66C7"/>
    <w:rsid w:val="00801C80"/>
    <w:rsid w:val="0080273F"/>
    <w:rsid w:val="00806657"/>
    <w:rsid w:val="00811FE4"/>
    <w:rsid w:val="00812260"/>
    <w:rsid w:val="00812347"/>
    <w:rsid w:val="0081286C"/>
    <w:rsid w:val="008137AC"/>
    <w:rsid w:val="00815D04"/>
    <w:rsid w:val="00817C4A"/>
    <w:rsid w:val="00821A95"/>
    <w:rsid w:val="00822186"/>
    <w:rsid w:val="00822BBF"/>
    <w:rsid w:val="00824207"/>
    <w:rsid w:val="00824DAC"/>
    <w:rsid w:val="00826E37"/>
    <w:rsid w:val="00827B54"/>
    <w:rsid w:val="00830484"/>
    <w:rsid w:val="00831F3F"/>
    <w:rsid w:val="00832C31"/>
    <w:rsid w:val="00832E0F"/>
    <w:rsid w:val="00832F0E"/>
    <w:rsid w:val="00834E46"/>
    <w:rsid w:val="00836080"/>
    <w:rsid w:val="0083689C"/>
    <w:rsid w:val="00837693"/>
    <w:rsid w:val="00837A31"/>
    <w:rsid w:val="008403EA"/>
    <w:rsid w:val="00841189"/>
    <w:rsid w:val="00841444"/>
    <w:rsid w:val="00842346"/>
    <w:rsid w:val="00844781"/>
    <w:rsid w:val="00844892"/>
    <w:rsid w:val="00845655"/>
    <w:rsid w:val="008508EB"/>
    <w:rsid w:val="00851200"/>
    <w:rsid w:val="008522DB"/>
    <w:rsid w:val="00853234"/>
    <w:rsid w:val="008543FD"/>
    <w:rsid w:val="00855975"/>
    <w:rsid w:val="00856D70"/>
    <w:rsid w:val="00857304"/>
    <w:rsid w:val="00860F48"/>
    <w:rsid w:val="0086246E"/>
    <w:rsid w:val="00863C77"/>
    <w:rsid w:val="0086408A"/>
    <w:rsid w:val="00864894"/>
    <w:rsid w:val="00864AF8"/>
    <w:rsid w:val="008659CB"/>
    <w:rsid w:val="00865B12"/>
    <w:rsid w:val="00866738"/>
    <w:rsid w:val="00866EAE"/>
    <w:rsid w:val="008678A1"/>
    <w:rsid w:val="0086792D"/>
    <w:rsid w:val="00872172"/>
    <w:rsid w:val="00872C2F"/>
    <w:rsid w:val="00872F15"/>
    <w:rsid w:val="00874044"/>
    <w:rsid w:val="008741C6"/>
    <w:rsid w:val="00874501"/>
    <w:rsid w:val="008746D4"/>
    <w:rsid w:val="008770E3"/>
    <w:rsid w:val="00880411"/>
    <w:rsid w:val="00882A8A"/>
    <w:rsid w:val="008867CF"/>
    <w:rsid w:val="0088688A"/>
    <w:rsid w:val="00886F75"/>
    <w:rsid w:val="00890E66"/>
    <w:rsid w:val="00891684"/>
    <w:rsid w:val="00892807"/>
    <w:rsid w:val="008950E4"/>
    <w:rsid w:val="00895792"/>
    <w:rsid w:val="00895E35"/>
    <w:rsid w:val="00896098"/>
    <w:rsid w:val="00896222"/>
    <w:rsid w:val="00897ADC"/>
    <w:rsid w:val="00897DC9"/>
    <w:rsid w:val="008A09DE"/>
    <w:rsid w:val="008A22BD"/>
    <w:rsid w:val="008A297E"/>
    <w:rsid w:val="008A38C4"/>
    <w:rsid w:val="008A62A0"/>
    <w:rsid w:val="008B077B"/>
    <w:rsid w:val="008B0B06"/>
    <w:rsid w:val="008B2FE0"/>
    <w:rsid w:val="008B4FF8"/>
    <w:rsid w:val="008B554D"/>
    <w:rsid w:val="008B6852"/>
    <w:rsid w:val="008B755E"/>
    <w:rsid w:val="008B7742"/>
    <w:rsid w:val="008B79E4"/>
    <w:rsid w:val="008B7D65"/>
    <w:rsid w:val="008C17F4"/>
    <w:rsid w:val="008C2FA5"/>
    <w:rsid w:val="008C4F34"/>
    <w:rsid w:val="008C5BD5"/>
    <w:rsid w:val="008C6FA3"/>
    <w:rsid w:val="008C7A71"/>
    <w:rsid w:val="008C7BBC"/>
    <w:rsid w:val="008D01A4"/>
    <w:rsid w:val="008D2F35"/>
    <w:rsid w:val="008D4844"/>
    <w:rsid w:val="008D625A"/>
    <w:rsid w:val="008D7AFA"/>
    <w:rsid w:val="008E05B0"/>
    <w:rsid w:val="008E086B"/>
    <w:rsid w:val="008E12ED"/>
    <w:rsid w:val="008E2B00"/>
    <w:rsid w:val="008E2D93"/>
    <w:rsid w:val="008E31A7"/>
    <w:rsid w:val="008E577D"/>
    <w:rsid w:val="008E58F3"/>
    <w:rsid w:val="008E635A"/>
    <w:rsid w:val="008E65DB"/>
    <w:rsid w:val="008E7FB3"/>
    <w:rsid w:val="008F290F"/>
    <w:rsid w:val="008F29DC"/>
    <w:rsid w:val="008F342A"/>
    <w:rsid w:val="008F40C5"/>
    <w:rsid w:val="008F5F28"/>
    <w:rsid w:val="008F71B8"/>
    <w:rsid w:val="008F7483"/>
    <w:rsid w:val="0090205F"/>
    <w:rsid w:val="009023BB"/>
    <w:rsid w:val="009040C3"/>
    <w:rsid w:val="0090419D"/>
    <w:rsid w:val="009049FC"/>
    <w:rsid w:val="00904A95"/>
    <w:rsid w:val="00904BD3"/>
    <w:rsid w:val="00904C96"/>
    <w:rsid w:val="00904F82"/>
    <w:rsid w:val="0090530E"/>
    <w:rsid w:val="009063A6"/>
    <w:rsid w:val="009065F5"/>
    <w:rsid w:val="00907626"/>
    <w:rsid w:val="00907EB5"/>
    <w:rsid w:val="00910A44"/>
    <w:rsid w:val="0091308A"/>
    <w:rsid w:val="00913A13"/>
    <w:rsid w:val="00913B62"/>
    <w:rsid w:val="00913E58"/>
    <w:rsid w:val="00913F46"/>
    <w:rsid w:val="00914F2B"/>
    <w:rsid w:val="00915569"/>
    <w:rsid w:val="009155F3"/>
    <w:rsid w:val="009163E6"/>
    <w:rsid w:val="00916DE9"/>
    <w:rsid w:val="009179B9"/>
    <w:rsid w:val="009220DB"/>
    <w:rsid w:val="00922BFE"/>
    <w:rsid w:val="00923A9E"/>
    <w:rsid w:val="00925C8D"/>
    <w:rsid w:val="00925E1A"/>
    <w:rsid w:val="00927418"/>
    <w:rsid w:val="00930BAB"/>
    <w:rsid w:val="00931C3B"/>
    <w:rsid w:val="00931D95"/>
    <w:rsid w:val="00931E3B"/>
    <w:rsid w:val="00932209"/>
    <w:rsid w:val="00932277"/>
    <w:rsid w:val="00932D77"/>
    <w:rsid w:val="009349BA"/>
    <w:rsid w:val="009378D3"/>
    <w:rsid w:val="009410BA"/>
    <w:rsid w:val="00941E38"/>
    <w:rsid w:val="00942F32"/>
    <w:rsid w:val="0094312D"/>
    <w:rsid w:val="0094761A"/>
    <w:rsid w:val="00947D8E"/>
    <w:rsid w:val="00961CA3"/>
    <w:rsid w:val="0096459D"/>
    <w:rsid w:val="00964614"/>
    <w:rsid w:val="00964970"/>
    <w:rsid w:val="00965C0A"/>
    <w:rsid w:val="009662CE"/>
    <w:rsid w:val="00967160"/>
    <w:rsid w:val="00967620"/>
    <w:rsid w:val="00971CEF"/>
    <w:rsid w:val="0097216E"/>
    <w:rsid w:val="00972FF7"/>
    <w:rsid w:val="00973D12"/>
    <w:rsid w:val="009748A6"/>
    <w:rsid w:val="0097681E"/>
    <w:rsid w:val="00976FA2"/>
    <w:rsid w:val="00981606"/>
    <w:rsid w:val="00983E2C"/>
    <w:rsid w:val="00984FB1"/>
    <w:rsid w:val="00985C96"/>
    <w:rsid w:val="00986A13"/>
    <w:rsid w:val="00986E4E"/>
    <w:rsid w:val="00987221"/>
    <w:rsid w:val="00987638"/>
    <w:rsid w:val="0099101E"/>
    <w:rsid w:val="00993362"/>
    <w:rsid w:val="00996437"/>
    <w:rsid w:val="0099725F"/>
    <w:rsid w:val="009973CA"/>
    <w:rsid w:val="00997ED6"/>
    <w:rsid w:val="009A050A"/>
    <w:rsid w:val="009A3661"/>
    <w:rsid w:val="009A4A8D"/>
    <w:rsid w:val="009A5E0E"/>
    <w:rsid w:val="009A7E09"/>
    <w:rsid w:val="009B0371"/>
    <w:rsid w:val="009B03A2"/>
    <w:rsid w:val="009B27B1"/>
    <w:rsid w:val="009B3DA8"/>
    <w:rsid w:val="009B4F71"/>
    <w:rsid w:val="009B5CFC"/>
    <w:rsid w:val="009B5EFC"/>
    <w:rsid w:val="009B6FD1"/>
    <w:rsid w:val="009B6FFE"/>
    <w:rsid w:val="009B7FBB"/>
    <w:rsid w:val="009C0E47"/>
    <w:rsid w:val="009C1F3C"/>
    <w:rsid w:val="009C1F68"/>
    <w:rsid w:val="009C2F45"/>
    <w:rsid w:val="009C3E70"/>
    <w:rsid w:val="009C6C25"/>
    <w:rsid w:val="009C713C"/>
    <w:rsid w:val="009D1431"/>
    <w:rsid w:val="009D1A73"/>
    <w:rsid w:val="009D3F85"/>
    <w:rsid w:val="009D55FD"/>
    <w:rsid w:val="009D5E70"/>
    <w:rsid w:val="009D74F8"/>
    <w:rsid w:val="009E05D4"/>
    <w:rsid w:val="009E1670"/>
    <w:rsid w:val="009E248D"/>
    <w:rsid w:val="009E38D9"/>
    <w:rsid w:val="009E404C"/>
    <w:rsid w:val="009E6428"/>
    <w:rsid w:val="009E6DF9"/>
    <w:rsid w:val="009E6ECD"/>
    <w:rsid w:val="009E7D6B"/>
    <w:rsid w:val="009F0FE9"/>
    <w:rsid w:val="009F19F5"/>
    <w:rsid w:val="009F2EF5"/>
    <w:rsid w:val="009F4CA8"/>
    <w:rsid w:val="009F5F33"/>
    <w:rsid w:val="009F6001"/>
    <w:rsid w:val="009F6B0E"/>
    <w:rsid w:val="00A00042"/>
    <w:rsid w:val="00A00152"/>
    <w:rsid w:val="00A03B07"/>
    <w:rsid w:val="00A04132"/>
    <w:rsid w:val="00A05834"/>
    <w:rsid w:val="00A10217"/>
    <w:rsid w:val="00A1133B"/>
    <w:rsid w:val="00A11E75"/>
    <w:rsid w:val="00A13148"/>
    <w:rsid w:val="00A13DB0"/>
    <w:rsid w:val="00A15F23"/>
    <w:rsid w:val="00A16A45"/>
    <w:rsid w:val="00A17322"/>
    <w:rsid w:val="00A17471"/>
    <w:rsid w:val="00A20831"/>
    <w:rsid w:val="00A21397"/>
    <w:rsid w:val="00A217D8"/>
    <w:rsid w:val="00A23954"/>
    <w:rsid w:val="00A23F91"/>
    <w:rsid w:val="00A245CD"/>
    <w:rsid w:val="00A24FC4"/>
    <w:rsid w:val="00A2676C"/>
    <w:rsid w:val="00A26BE7"/>
    <w:rsid w:val="00A274B1"/>
    <w:rsid w:val="00A3015D"/>
    <w:rsid w:val="00A30F28"/>
    <w:rsid w:val="00A330B0"/>
    <w:rsid w:val="00A33B8F"/>
    <w:rsid w:val="00A34594"/>
    <w:rsid w:val="00A35294"/>
    <w:rsid w:val="00A3547A"/>
    <w:rsid w:val="00A3566F"/>
    <w:rsid w:val="00A36959"/>
    <w:rsid w:val="00A36CCF"/>
    <w:rsid w:val="00A374F0"/>
    <w:rsid w:val="00A41312"/>
    <w:rsid w:val="00A41C2D"/>
    <w:rsid w:val="00A42F9B"/>
    <w:rsid w:val="00A43B2A"/>
    <w:rsid w:val="00A46791"/>
    <w:rsid w:val="00A4719E"/>
    <w:rsid w:val="00A47565"/>
    <w:rsid w:val="00A47A19"/>
    <w:rsid w:val="00A51EA8"/>
    <w:rsid w:val="00A53F7F"/>
    <w:rsid w:val="00A54C5B"/>
    <w:rsid w:val="00A55606"/>
    <w:rsid w:val="00A569D9"/>
    <w:rsid w:val="00A60C49"/>
    <w:rsid w:val="00A6160B"/>
    <w:rsid w:val="00A62932"/>
    <w:rsid w:val="00A64AC9"/>
    <w:rsid w:val="00A65001"/>
    <w:rsid w:val="00A73A92"/>
    <w:rsid w:val="00A75CB1"/>
    <w:rsid w:val="00A771CF"/>
    <w:rsid w:val="00A80A9C"/>
    <w:rsid w:val="00A82722"/>
    <w:rsid w:val="00A82B27"/>
    <w:rsid w:val="00A8493F"/>
    <w:rsid w:val="00A86447"/>
    <w:rsid w:val="00A870FF"/>
    <w:rsid w:val="00A9127A"/>
    <w:rsid w:val="00A9176D"/>
    <w:rsid w:val="00A9257A"/>
    <w:rsid w:val="00A9290E"/>
    <w:rsid w:val="00A9775D"/>
    <w:rsid w:val="00A97FB5"/>
    <w:rsid w:val="00AA1B44"/>
    <w:rsid w:val="00AA1CD5"/>
    <w:rsid w:val="00AA3572"/>
    <w:rsid w:val="00AA3BE7"/>
    <w:rsid w:val="00AA481F"/>
    <w:rsid w:val="00AA60CC"/>
    <w:rsid w:val="00AA62A4"/>
    <w:rsid w:val="00AA67CE"/>
    <w:rsid w:val="00AA69F0"/>
    <w:rsid w:val="00AA6C25"/>
    <w:rsid w:val="00AA6CAA"/>
    <w:rsid w:val="00AA6D68"/>
    <w:rsid w:val="00AB0996"/>
    <w:rsid w:val="00AB0F5A"/>
    <w:rsid w:val="00AB14A7"/>
    <w:rsid w:val="00AB1BA0"/>
    <w:rsid w:val="00AB5C6C"/>
    <w:rsid w:val="00AC01CD"/>
    <w:rsid w:val="00AC21A5"/>
    <w:rsid w:val="00AC2546"/>
    <w:rsid w:val="00AC5888"/>
    <w:rsid w:val="00AC5AC2"/>
    <w:rsid w:val="00AC5F7F"/>
    <w:rsid w:val="00AC6839"/>
    <w:rsid w:val="00AC7C23"/>
    <w:rsid w:val="00AC7D84"/>
    <w:rsid w:val="00AD022C"/>
    <w:rsid w:val="00AD0474"/>
    <w:rsid w:val="00AD1676"/>
    <w:rsid w:val="00AD246F"/>
    <w:rsid w:val="00AD3411"/>
    <w:rsid w:val="00AD36D3"/>
    <w:rsid w:val="00AD49BD"/>
    <w:rsid w:val="00AD61E4"/>
    <w:rsid w:val="00AD71C8"/>
    <w:rsid w:val="00AE0A41"/>
    <w:rsid w:val="00AE0AB9"/>
    <w:rsid w:val="00AE0C23"/>
    <w:rsid w:val="00AE31BB"/>
    <w:rsid w:val="00AE5C22"/>
    <w:rsid w:val="00AE6365"/>
    <w:rsid w:val="00AE674B"/>
    <w:rsid w:val="00AE75D8"/>
    <w:rsid w:val="00AE76DB"/>
    <w:rsid w:val="00AF02D7"/>
    <w:rsid w:val="00AF0F6D"/>
    <w:rsid w:val="00AF1364"/>
    <w:rsid w:val="00AF309F"/>
    <w:rsid w:val="00AF4996"/>
    <w:rsid w:val="00AF4CA2"/>
    <w:rsid w:val="00AF500D"/>
    <w:rsid w:val="00AF62B4"/>
    <w:rsid w:val="00B00A6A"/>
    <w:rsid w:val="00B013D7"/>
    <w:rsid w:val="00B01810"/>
    <w:rsid w:val="00B02C2D"/>
    <w:rsid w:val="00B0309E"/>
    <w:rsid w:val="00B03EDD"/>
    <w:rsid w:val="00B050A3"/>
    <w:rsid w:val="00B05A0B"/>
    <w:rsid w:val="00B061A0"/>
    <w:rsid w:val="00B072B9"/>
    <w:rsid w:val="00B07CDB"/>
    <w:rsid w:val="00B10F0F"/>
    <w:rsid w:val="00B10F63"/>
    <w:rsid w:val="00B111C0"/>
    <w:rsid w:val="00B1222B"/>
    <w:rsid w:val="00B12BB9"/>
    <w:rsid w:val="00B12D73"/>
    <w:rsid w:val="00B13620"/>
    <w:rsid w:val="00B14F84"/>
    <w:rsid w:val="00B16AE5"/>
    <w:rsid w:val="00B1717D"/>
    <w:rsid w:val="00B179F2"/>
    <w:rsid w:val="00B201F7"/>
    <w:rsid w:val="00B2077B"/>
    <w:rsid w:val="00B211BE"/>
    <w:rsid w:val="00B21C77"/>
    <w:rsid w:val="00B24114"/>
    <w:rsid w:val="00B24D16"/>
    <w:rsid w:val="00B25A53"/>
    <w:rsid w:val="00B25A79"/>
    <w:rsid w:val="00B25EAA"/>
    <w:rsid w:val="00B264B9"/>
    <w:rsid w:val="00B265CE"/>
    <w:rsid w:val="00B26815"/>
    <w:rsid w:val="00B26DCA"/>
    <w:rsid w:val="00B27C7B"/>
    <w:rsid w:val="00B33F68"/>
    <w:rsid w:val="00B34616"/>
    <w:rsid w:val="00B3580D"/>
    <w:rsid w:val="00B36009"/>
    <w:rsid w:val="00B36014"/>
    <w:rsid w:val="00B360A9"/>
    <w:rsid w:val="00B36E36"/>
    <w:rsid w:val="00B37938"/>
    <w:rsid w:val="00B40C11"/>
    <w:rsid w:val="00B42626"/>
    <w:rsid w:val="00B4296D"/>
    <w:rsid w:val="00B501BF"/>
    <w:rsid w:val="00B50F6E"/>
    <w:rsid w:val="00B5224C"/>
    <w:rsid w:val="00B524CD"/>
    <w:rsid w:val="00B52F84"/>
    <w:rsid w:val="00B53307"/>
    <w:rsid w:val="00B536F1"/>
    <w:rsid w:val="00B54B83"/>
    <w:rsid w:val="00B54B9C"/>
    <w:rsid w:val="00B54E69"/>
    <w:rsid w:val="00B561A0"/>
    <w:rsid w:val="00B606E4"/>
    <w:rsid w:val="00B611DA"/>
    <w:rsid w:val="00B62E14"/>
    <w:rsid w:val="00B63204"/>
    <w:rsid w:val="00B656C5"/>
    <w:rsid w:val="00B679D2"/>
    <w:rsid w:val="00B70256"/>
    <w:rsid w:val="00B70DDB"/>
    <w:rsid w:val="00B71096"/>
    <w:rsid w:val="00B71E2B"/>
    <w:rsid w:val="00B73000"/>
    <w:rsid w:val="00B832C5"/>
    <w:rsid w:val="00B83804"/>
    <w:rsid w:val="00B84309"/>
    <w:rsid w:val="00B847BC"/>
    <w:rsid w:val="00B85748"/>
    <w:rsid w:val="00B87D42"/>
    <w:rsid w:val="00B9031C"/>
    <w:rsid w:val="00B906B5"/>
    <w:rsid w:val="00B91954"/>
    <w:rsid w:val="00B923EF"/>
    <w:rsid w:val="00B943E7"/>
    <w:rsid w:val="00B94841"/>
    <w:rsid w:val="00B94873"/>
    <w:rsid w:val="00B94FA1"/>
    <w:rsid w:val="00B95271"/>
    <w:rsid w:val="00BA2984"/>
    <w:rsid w:val="00BA4950"/>
    <w:rsid w:val="00BA49D4"/>
    <w:rsid w:val="00BA65A4"/>
    <w:rsid w:val="00BA6A56"/>
    <w:rsid w:val="00BA79CB"/>
    <w:rsid w:val="00BA7D04"/>
    <w:rsid w:val="00BA7DD4"/>
    <w:rsid w:val="00BB072B"/>
    <w:rsid w:val="00BB11D8"/>
    <w:rsid w:val="00BB13A2"/>
    <w:rsid w:val="00BB458E"/>
    <w:rsid w:val="00BB4945"/>
    <w:rsid w:val="00BB694D"/>
    <w:rsid w:val="00BB7384"/>
    <w:rsid w:val="00BB7F20"/>
    <w:rsid w:val="00BB7FFD"/>
    <w:rsid w:val="00BC0849"/>
    <w:rsid w:val="00BC21DD"/>
    <w:rsid w:val="00BC26C7"/>
    <w:rsid w:val="00BC2B42"/>
    <w:rsid w:val="00BC473D"/>
    <w:rsid w:val="00BC5BFB"/>
    <w:rsid w:val="00BC609A"/>
    <w:rsid w:val="00BC67D8"/>
    <w:rsid w:val="00BD008F"/>
    <w:rsid w:val="00BD00BC"/>
    <w:rsid w:val="00BD21C3"/>
    <w:rsid w:val="00BD256A"/>
    <w:rsid w:val="00BD3022"/>
    <w:rsid w:val="00BD52B5"/>
    <w:rsid w:val="00BD61F8"/>
    <w:rsid w:val="00BD6572"/>
    <w:rsid w:val="00BD658C"/>
    <w:rsid w:val="00BD6EAD"/>
    <w:rsid w:val="00BD7C9F"/>
    <w:rsid w:val="00BE0AE3"/>
    <w:rsid w:val="00BE16C9"/>
    <w:rsid w:val="00BE1CC2"/>
    <w:rsid w:val="00BE1D2F"/>
    <w:rsid w:val="00BE2B4F"/>
    <w:rsid w:val="00BE405D"/>
    <w:rsid w:val="00BE5001"/>
    <w:rsid w:val="00BE66DC"/>
    <w:rsid w:val="00BE71B1"/>
    <w:rsid w:val="00BF063B"/>
    <w:rsid w:val="00BF11F9"/>
    <w:rsid w:val="00BF3DB6"/>
    <w:rsid w:val="00BF678A"/>
    <w:rsid w:val="00BF75B7"/>
    <w:rsid w:val="00BF7C23"/>
    <w:rsid w:val="00C018FD"/>
    <w:rsid w:val="00C01902"/>
    <w:rsid w:val="00C070E2"/>
    <w:rsid w:val="00C0743B"/>
    <w:rsid w:val="00C07D64"/>
    <w:rsid w:val="00C07F6F"/>
    <w:rsid w:val="00C07FD4"/>
    <w:rsid w:val="00C110F6"/>
    <w:rsid w:val="00C12A57"/>
    <w:rsid w:val="00C12E1A"/>
    <w:rsid w:val="00C13FAE"/>
    <w:rsid w:val="00C14E0A"/>
    <w:rsid w:val="00C158F1"/>
    <w:rsid w:val="00C16795"/>
    <w:rsid w:val="00C16A4E"/>
    <w:rsid w:val="00C20494"/>
    <w:rsid w:val="00C2065B"/>
    <w:rsid w:val="00C20E22"/>
    <w:rsid w:val="00C234A6"/>
    <w:rsid w:val="00C237C2"/>
    <w:rsid w:val="00C240CF"/>
    <w:rsid w:val="00C26935"/>
    <w:rsid w:val="00C27DCF"/>
    <w:rsid w:val="00C311D4"/>
    <w:rsid w:val="00C32DB5"/>
    <w:rsid w:val="00C3325D"/>
    <w:rsid w:val="00C33EB6"/>
    <w:rsid w:val="00C353BB"/>
    <w:rsid w:val="00C3571C"/>
    <w:rsid w:val="00C36FC1"/>
    <w:rsid w:val="00C37253"/>
    <w:rsid w:val="00C3732F"/>
    <w:rsid w:val="00C373ED"/>
    <w:rsid w:val="00C37EF1"/>
    <w:rsid w:val="00C4004A"/>
    <w:rsid w:val="00C41A6A"/>
    <w:rsid w:val="00C424E9"/>
    <w:rsid w:val="00C434D0"/>
    <w:rsid w:val="00C46CD0"/>
    <w:rsid w:val="00C474E7"/>
    <w:rsid w:val="00C475E9"/>
    <w:rsid w:val="00C512D4"/>
    <w:rsid w:val="00C517B7"/>
    <w:rsid w:val="00C51CFA"/>
    <w:rsid w:val="00C52261"/>
    <w:rsid w:val="00C53132"/>
    <w:rsid w:val="00C54C2F"/>
    <w:rsid w:val="00C55E26"/>
    <w:rsid w:val="00C55F20"/>
    <w:rsid w:val="00C61FC4"/>
    <w:rsid w:val="00C62D30"/>
    <w:rsid w:val="00C64B8B"/>
    <w:rsid w:val="00C650AD"/>
    <w:rsid w:val="00C65B8F"/>
    <w:rsid w:val="00C74063"/>
    <w:rsid w:val="00C749AC"/>
    <w:rsid w:val="00C77FC3"/>
    <w:rsid w:val="00C81E6D"/>
    <w:rsid w:val="00C83375"/>
    <w:rsid w:val="00C849C2"/>
    <w:rsid w:val="00C84A45"/>
    <w:rsid w:val="00C86C5F"/>
    <w:rsid w:val="00C87B26"/>
    <w:rsid w:val="00C90CEE"/>
    <w:rsid w:val="00C92A68"/>
    <w:rsid w:val="00C933B6"/>
    <w:rsid w:val="00C94536"/>
    <w:rsid w:val="00C954EF"/>
    <w:rsid w:val="00C969D2"/>
    <w:rsid w:val="00C975EB"/>
    <w:rsid w:val="00CA0F9C"/>
    <w:rsid w:val="00CA1D84"/>
    <w:rsid w:val="00CA2367"/>
    <w:rsid w:val="00CA5058"/>
    <w:rsid w:val="00CA5738"/>
    <w:rsid w:val="00CB099F"/>
    <w:rsid w:val="00CB0F3C"/>
    <w:rsid w:val="00CB2552"/>
    <w:rsid w:val="00CB3CDD"/>
    <w:rsid w:val="00CB52D5"/>
    <w:rsid w:val="00CB5640"/>
    <w:rsid w:val="00CC17B2"/>
    <w:rsid w:val="00CC1F7F"/>
    <w:rsid w:val="00CC2882"/>
    <w:rsid w:val="00CC42EF"/>
    <w:rsid w:val="00CC4BEE"/>
    <w:rsid w:val="00CC5CA4"/>
    <w:rsid w:val="00CC6094"/>
    <w:rsid w:val="00CC6A5A"/>
    <w:rsid w:val="00CC7E6B"/>
    <w:rsid w:val="00CD0451"/>
    <w:rsid w:val="00CD0A3C"/>
    <w:rsid w:val="00CD0F19"/>
    <w:rsid w:val="00CD2A18"/>
    <w:rsid w:val="00CD4A58"/>
    <w:rsid w:val="00CD674A"/>
    <w:rsid w:val="00CD7330"/>
    <w:rsid w:val="00CE0F8A"/>
    <w:rsid w:val="00CE140C"/>
    <w:rsid w:val="00CE146C"/>
    <w:rsid w:val="00CE3548"/>
    <w:rsid w:val="00CE3FEA"/>
    <w:rsid w:val="00CE4776"/>
    <w:rsid w:val="00CE5D36"/>
    <w:rsid w:val="00CE6BAB"/>
    <w:rsid w:val="00CE6E05"/>
    <w:rsid w:val="00CE7719"/>
    <w:rsid w:val="00CE786E"/>
    <w:rsid w:val="00CE7DED"/>
    <w:rsid w:val="00CF0A1F"/>
    <w:rsid w:val="00CF1710"/>
    <w:rsid w:val="00CF1775"/>
    <w:rsid w:val="00CF1885"/>
    <w:rsid w:val="00CF30E6"/>
    <w:rsid w:val="00CF43CC"/>
    <w:rsid w:val="00CF4EAA"/>
    <w:rsid w:val="00CF6013"/>
    <w:rsid w:val="00CF66B6"/>
    <w:rsid w:val="00CF6DA6"/>
    <w:rsid w:val="00D00FFE"/>
    <w:rsid w:val="00D01CE1"/>
    <w:rsid w:val="00D02FB1"/>
    <w:rsid w:val="00D030E0"/>
    <w:rsid w:val="00D033F4"/>
    <w:rsid w:val="00D0407D"/>
    <w:rsid w:val="00D068C0"/>
    <w:rsid w:val="00D10456"/>
    <w:rsid w:val="00D117AE"/>
    <w:rsid w:val="00D11F0B"/>
    <w:rsid w:val="00D15168"/>
    <w:rsid w:val="00D15CD4"/>
    <w:rsid w:val="00D1766A"/>
    <w:rsid w:val="00D17D4E"/>
    <w:rsid w:val="00D20A79"/>
    <w:rsid w:val="00D22044"/>
    <w:rsid w:val="00D235EF"/>
    <w:rsid w:val="00D23B82"/>
    <w:rsid w:val="00D23DEF"/>
    <w:rsid w:val="00D24490"/>
    <w:rsid w:val="00D26284"/>
    <w:rsid w:val="00D26751"/>
    <w:rsid w:val="00D26FBC"/>
    <w:rsid w:val="00D276A6"/>
    <w:rsid w:val="00D279DE"/>
    <w:rsid w:val="00D27B8D"/>
    <w:rsid w:val="00D31530"/>
    <w:rsid w:val="00D328D1"/>
    <w:rsid w:val="00D329C7"/>
    <w:rsid w:val="00D33DF6"/>
    <w:rsid w:val="00D34165"/>
    <w:rsid w:val="00D35DBC"/>
    <w:rsid w:val="00D373F2"/>
    <w:rsid w:val="00D400EE"/>
    <w:rsid w:val="00D402D3"/>
    <w:rsid w:val="00D4106D"/>
    <w:rsid w:val="00D478C0"/>
    <w:rsid w:val="00D50C15"/>
    <w:rsid w:val="00D50D83"/>
    <w:rsid w:val="00D511E6"/>
    <w:rsid w:val="00D51B48"/>
    <w:rsid w:val="00D51FE4"/>
    <w:rsid w:val="00D522C6"/>
    <w:rsid w:val="00D52528"/>
    <w:rsid w:val="00D52AE9"/>
    <w:rsid w:val="00D52C12"/>
    <w:rsid w:val="00D5326C"/>
    <w:rsid w:val="00D54B4E"/>
    <w:rsid w:val="00D56420"/>
    <w:rsid w:val="00D569E6"/>
    <w:rsid w:val="00D614C0"/>
    <w:rsid w:val="00D624CA"/>
    <w:rsid w:val="00D6496A"/>
    <w:rsid w:val="00D64B2B"/>
    <w:rsid w:val="00D663A9"/>
    <w:rsid w:val="00D71235"/>
    <w:rsid w:val="00D71510"/>
    <w:rsid w:val="00D71FE5"/>
    <w:rsid w:val="00D73CB2"/>
    <w:rsid w:val="00D7569A"/>
    <w:rsid w:val="00D76050"/>
    <w:rsid w:val="00D76DBF"/>
    <w:rsid w:val="00D77AEC"/>
    <w:rsid w:val="00D8122C"/>
    <w:rsid w:val="00D814DD"/>
    <w:rsid w:val="00D81755"/>
    <w:rsid w:val="00D8571C"/>
    <w:rsid w:val="00D8656B"/>
    <w:rsid w:val="00D867B8"/>
    <w:rsid w:val="00D87603"/>
    <w:rsid w:val="00D87E06"/>
    <w:rsid w:val="00D90D7E"/>
    <w:rsid w:val="00D91622"/>
    <w:rsid w:val="00D91D0B"/>
    <w:rsid w:val="00D96087"/>
    <w:rsid w:val="00D963B7"/>
    <w:rsid w:val="00DA0073"/>
    <w:rsid w:val="00DA0452"/>
    <w:rsid w:val="00DA0A0D"/>
    <w:rsid w:val="00DA244D"/>
    <w:rsid w:val="00DA299F"/>
    <w:rsid w:val="00DA3881"/>
    <w:rsid w:val="00DA3CFA"/>
    <w:rsid w:val="00DA475F"/>
    <w:rsid w:val="00DA4A34"/>
    <w:rsid w:val="00DA4C4B"/>
    <w:rsid w:val="00DA5082"/>
    <w:rsid w:val="00DA527A"/>
    <w:rsid w:val="00DA612E"/>
    <w:rsid w:val="00DB1B1A"/>
    <w:rsid w:val="00DB3419"/>
    <w:rsid w:val="00DB3997"/>
    <w:rsid w:val="00DB3C4C"/>
    <w:rsid w:val="00DB3E9F"/>
    <w:rsid w:val="00DB3F5F"/>
    <w:rsid w:val="00DB4DBD"/>
    <w:rsid w:val="00DB7763"/>
    <w:rsid w:val="00DC17A6"/>
    <w:rsid w:val="00DC1D6D"/>
    <w:rsid w:val="00DC2118"/>
    <w:rsid w:val="00DC2619"/>
    <w:rsid w:val="00DC326E"/>
    <w:rsid w:val="00DC52C3"/>
    <w:rsid w:val="00DC54A2"/>
    <w:rsid w:val="00DC56EC"/>
    <w:rsid w:val="00DC681D"/>
    <w:rsid w:val="00DD03B1"/>
    <w:rsid w:val="00DD2729"/>
    <w:rsid w:val="00DD43A8"/>
    <w:rsid w:val="00DD6ADC"/>
    <w:rsid w:val="00DE2C75"/>
    <w:rsid w:val="00DE3720"/>
    <w:rsid w:val="00DE5145"/>
    <w:rsid w:val="00DE7C80"/>
    <w:rsid w:val="00DF0D2F"/>
    <w:rsid w:val="00DF0EEC"/>
    <w:rsid w:val="00DF0F6E"/>
    <w:rsid w:val="00DF3109"/>
    <w:rsid w:val="00DF445A"/>
    <w:rsid w:val="00DF45BC"/>
    <w:rsid w:val="00DF7DFC"/>
    <w:rsid w:val="00E02284"/>
    <w:rsid w:val="00E025F3"/>
    <w:rsid w:val="00E02BA9"/>
    <w:rsid w:val="00E03DB2"/>
    <w:rsid w:val="00E04B7C"/>
    <w:rsid w:val="00E06D21"/>
    <w:rsid w:val="00E06F51"/>
    <w:rsid w:val="00E0707A"/>
    <w:rsid w:val="00E07874"/>
    <w:rsid w:val="00E101FD"/>
    <w:rsid w:val="00E113CF"/>
    <w:rsid w:val="00E120CD"/>
    <w:rsid w:val="00E12964"/>
    <w:rsid w:val="00E12C7A"/>
    <w:rsid w:val="00E144F0"/>
    <w:rsid w:val="00E14D14"/>
    <w:rsid w:val="00E20391"/>
    <w:rsid w:val="00E21157"/>
    <w:rsid w:val="00E216E6"/>
    <w:rsid w:val="00E23061"/>
    <w:rsid w:val="00E24224"/>
    <w:rsid w:val="00E24DA1"/>
    <w:rsid w:val="00E2547A"/>
    <w:rsid w:val="00E25BC4"/>
    <w:rsid w:val="00E25C32"/>
    <w:rsid w:val="00E27615"/>
    <w:rsid w:val="00E32220"/>
    <w:rsid w:val="00E3228B"/>
    <w:rsid w:val="00E328F0"/>
    <w:rsid w:val="00E329E1"/>
    <w:rsid w:val="00E32C37"/>
    <w:rsid w:val="00E338FD"/>
    <w:rsid w:val="00E3459C"/>
    <w:rsid w:val="00E3548E"/>
    <w:rsid w:val="00E354D5"/>
    <w:rsid w:val="00E35A08"/>
    <w:rsid w:val="00E3745B"/>
    <w:rsid w:val="00E4054C"/>
    <w:rsid w:val="00E43A8A"/>
    <w:rsid w:val="00E44338"/>
    <w:rsid w:val="00E461A7"/>
    <w:rsid w:val="00E4722E"/>
    <w:rsid w:val="00E4752D"/>
    <w:rsid w:val="00E47866"/>
    <w:rsid w:val="00E51A90"/>
    <w:rsid w:val="00E5216D"/>
    <w:rsid w:val="00E52E46"/>
    <w:rsid w:val="00E54219"/>
    <w:rsid w:val="00E60067"/>
    <w:rsid w:val="00E6101B"/>
    <w:rsid w:val="00E6152A"/>
    <w:rsid w:val="00E61DC3"/>
    <w:rsid w:val="00E6528C"/>
    <w:rsid w:val="00E676B2"/>
    <w:rsid w:val="00E75A03"/>
    <w:rsid w:val="00E76637"/>
    <w:rsid w:val="00E817B0"/>
    <w:rsid w:val="00E81967"/>
    <w:rsid w:val="00E82175"/>
    <w:rsid w:val="00E82D4A"/>
    <w:rsid w:val="00E830D8"/>
    <w:rsid w:val="00E83676"/>
    <w:rsid w:val="00E83740"/>
    <w:rsid w:val="00E855E0"/>
    <w:rsid w:val="00E857A9"/>
    <w:rsid w:val="00E8604B"/>
    <w:rsid w:val="00E860A2"/>
    <w:rsid w:val="00E92709"/>
    <w:rsid w:val="00E92C0C"/>
    <w:rsid w:val="00E92E92"/>
    <w:rsid w:val="00E94D24"/>
    <w:rsid w:val="00E94F9C"/>
    <w:rsid w:val="00E952BD"/>
    <w:rsid w:val="00E971F0"/>
    <w:rsid w:val="00E973FE"/>
    <w:rsid w:val="00E97811"/>
    <w:rsid w:val="00EA1833"/>
    <w:rsid w:val="00EA258C"/>
    <w:rsid w:val="00EA3133"/>
    <w:rsid w:val="00EA3B4F"/>
    <w:rsid w:val="00EA4762"/>
    <w:rsid w:val="00EA64E5"/>
    <w:rsid w:val="00EA6CB9"/>
    <w:rsid w:val="00EA72DF"/>
    <w:rsid w:val="00EB00BD"/>
    <w:rsid w:val="00EB0B5C"/>
    <w:rsid w:val="00EB1940"/>
    <w:rsid w:val="00EB231B"/>
    <w:rsid w:val="00EB3A1A"/>
    <w:rsid w:val="00EB46E0"/>
    <w:rsid w:val="00EB4F10"/>
    <w:rsid w:val="00EB5796"/>
    <w:rsid w:val="00EB5D95"/>
    <w:rsid w:val="00EB6AF6"/>
    <w:rsid w:val="00EB6D25"/>
    <w:rsid w:val="00EB747F"/>
    <w:rsid w:val="00EC0B02"/>
    <w:rsid w:val="00EC4AE7"/>
    <w:rsid w:val="00EC5BF3"/>
    <w:rsid w:val="00EC5EE8"/>
    <w:rsid w:val="00EC68CA"/>
    <w:rsid w:val="00ED06C3"/>
    <w:rsid w:val="00ED0765"/>
    <w:rsid w:val="00ED08E1"/>
    <w:rsid w:val="00ED131F"/>
    <w:rsid w:val="00ED1EEA"/>
    <w:rsid w:val="00ED35B7"/>
    <w:rsid w:val="00ED3D7C"/>
    <w:rsid w:val="00ED50E8"/>
    <w:rsid w:val="00ED61F1"/>
    <w:rsid w:val="00ED675B"/>
    <w:rsid w:val="00ED6859"/>
    <w:rsid w:val="00ED6B2F"/>
    <w:rsid w:val="00ED7531"/>
    <w:rsid w:val="00ED7830"/>
    <w:rsid w:val="00EE0B88"/>
    <w:rsid w:val="00EE10E4"/>
    <w:rsid w:val="00EE16E7"/>
    <w:rsid w:val="00EE1FBD"/>
    <w:rsid w:val="00EE25F8"/>
    <w:rsid w:val="00EE2CD5"/>
    <w:rsid w:val="00EE34D0"/>
    <w:rsid w:val="00EE5171"/>
    <w:rsid w:val="00EE617C"/>
    <w:rsid w:val="00EE6AF0"/>
    <w:rsid w:val="00EE6BC3"/>
    <w:rsid w:val="00EE6EC0"/>
    <w:rsid w:val="00EE7429"/>
    <w:rsid w:val="00EF2328"/>
    <w:rsid w:val="00F018DE"/>
    <w:rsid w:val="00F03415"/>
    <w:rsid w:val="00F035CA"/>
    <w:rsid w:val="00F03911"/>
    <w:rsid w:val="00F075E7"/>
    <w:rsid w:val="00F10172"/>
    <w:rsid w:val="00F103B0"/>
    <w:rsid w:val="00F12D2D"/>
    <w:rsid w:val="00F1354D"/>
    <w:rsid w:val="00F1464F"/>
    <w:rsid w:val="00F14661"/>
    <w:rsid w:val="00F14786"/>
    <w:rsid w:val="00F15A7D"/>
    <w:rsid w:val="00F17621"/>
    <w:rsid w:val="00F178B3"/>
    <w:rsid w:val="00F17AE1"/>
    <w:rsid w:val="00F213BE"/>
    <w:rsid w:val="00F22B99"/>
    <w:rsid w:val="00F2302A"/>
    <w:rsid w:val="00F23EE9"/>
    <w:rsid w:val="00F24331"/>
    <w:rsid w:val="00F25470"/>
    <w:rsid w:val="00F27BF1"/>
    <w:rsid w:val="00F304B0"/>
    <w:rsid w:val="00F312AE"/>
    <w:rsid w:val="00F32503"/>
    <w:rsid w:val="00F32AD8"/>
    <w:rsid w:val="00F33A7E"/>
    <w:rsid w:val="00F33FC8"/>
    <w:rsid w:val="00F36BD3"/>
    <w:rsid w:val="00F375DA"/>
    <w:rsid w:val="00F37865"/>
    <w:rsid w:val="00F40A70"/>
    <w:rsid w:val="00F40D23"/>
    <w:rsid w:val="00F4131E"/>
    <w:rsid w:val="00F4242E"/>
    <w:rsid w:val="00F42516"/>
    <w:rsid w:val="00F4594B"/>
    <w:rsid w:val="00F459A3"/>
    <w:rsid w:val="00F50E1C"/>
    <w:rsid w:val="00F52A63"/>
    <w:rsid w:val="00F52D4B"/>
    <w:rsid w:val="00F5736F"/>
    <w:rsid w:val="00F57533"/>
    <w:rsid w:val="00F57A8F"/>
    <w:rsid w:val="00F57CD8"/>
    <w:rsid w:val="00F64537"/>
    <w:rsid w:val="00F6739A"/>
    <w:rsid w:val="00F71191"/>
    <w:rsid w:val="00F7146C"/>
    <w:rsid w:val="00F71D97"/>
    <w:rsid w:val="00F74C2C"/>
    <w:rsid w:val="00F8021A"/>
    <w:rsid w:val="00F8064D"/>
    <w:rsid w:val="00F80ED1"/>
    <w:rsid w:val="00F84243"/>
    <w:rsid w:val="00F8478A"/>
    <w:rsid w:val="00F91159"/>
    <w:rsid w:val="00F91E14"/>
    <w:rsid w:val="00F920F1"/>
    <w:rsid w:val="00F921F0"/>
    <w:rsid w:val="00F94092"/>
    <w:rsid w:val="00F9713F"/>
    <w:rsid w:val="00F97A4A"/>
    <w:rsid w:val="00FA0044"/>
    <w:rsid w:val="00FA04EA"/>
    <w:rsid w:val="00FA15C1"/>
    <w:rsid w:val="00FA2317"/>
    <w:rsid w:val="00FA3479"/>
    <w:rsid w:val="00FA428B"/>
    <w:rsid w:val="00FA466F"/>
    <w:rsid w:val="00FA5652"/>
    <w:rsid w:val="00FA7462"/>
    <w:rsid w:val="00FA755D"/>
    <w:rsid w:val="00FB00B0"/>
    <w:rsid w:val="00FB0AF5"/>
    <w:rsid w:val="00FB204A"/>
    <w:rsid w:val="00FB239A"/>
    <w:rsid w:val="00FB2EA4"/>
    <w:rsid w:val="00FB5571"/>
    <w:rsid w:val="00FB5A53"/>
    <w:rsid w:val="00FC0AC7"/>
    <w:rsid w:val="00FC2349"/>
    <w:rsid w:val="00FC48DA"/>
    <w:rsid w:val="00FC6521"/>
    <w:rsid w:val="00FD1F26"/>
    <w:rsid w:val="00FD2B0D"/>
    <w:rsid w:val="00FD2BBE"/>
    <w:rsid w:val="00FD40B6"/>
    <w:rsid w:val="00FD4671"/>
    <w:rsid w:val="00FD4FF2"/>
    <w:rsid w:val="00FD51A5"/>
    <w:rsid w:val="00FD735A"/>
    <w:rsid w:val="00FE0CFD"/>
    <w:rsid w:val="00FE1503"/>
    <w:rsid w:val="00FE252E"/>
    <w:rsid w:val="00FE28B5"/>
    <w:rsid w:val="00FE3725"/>
    <w:rsid w:val="00FE5BC0"/>
    <w:rsid w:val="00FE67D5"/>
    <w:rsid w:val="00FE732E"/>
    <w:rsid w:val="00FF0B97"/>
    <w:rsid w:val="00FF1443"/>
    <w:rsid w:val="00FF1B04"/>
    <w:rsid w:val="00FF1E38"/>
    <w:rsid w:val="00FF26A4"/>
    <w:rsid w:val="00FF291C"/>
    <w:rsid w:val="00FF3BCF"/>
    <w:rsid w:val="00FF5D27"/>
    <w:rsid w:val="00FF6438"/>
    <w:rsid w:val="00FF64C1"/>
    <w:rsid w:val="00FF6BC6"/>
    <w:rsid w:val="00FF7321"/>
    <w:rsid w:val="0164965F"/>
    <w:rsid w:val="07F8968A"/>
    <w:rsid w:val="08DCF20E"/>
    <w:rsid w:val="09876644"/>
    <w:rsid w:val="0AFF237D"/>
    <w:rsid w:val="0C9AF3DE"/>
    <w:rsid w:val="0F883644"/>
    <w:rsid w:val="15F692E7"/>
    <w:rsid w:val="1E54D58F"/>
    <w:rsid w:val="1F055C68"/>
    <w:rsid w:val="26ED182B"/>
    <w:rsid w:val="27329484"/>
    <w:rsid w:val="3244DBF1"/>
    <w:rsid w:val="3353178A"/>
    <w:rsid w:val="37E9C6AB"/>
    <w:rsid w:val="398DED46"/>
    <w:rsid w:val="45E8B426"/>
    <w:rsid w:val="541699C8"/>
    <w:rsid w:val="5953CEF4"/>
    <w:rsid w:val="6336B3EC"/>
    <w:rsid w:val="658E1011"/>
    <w:rsid w:val="6BF4A675"/>
    <w:rsid w:val="6DAEA687"/>
    <w:rsid w:val="6FA82486"/>
    <w:rsid w:val="7587B035"/>
    <w:rsid w:val="7AE59D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DBF38-02C0-4911-842F-67DBC804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uiPriority w:val="99"/>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35941"/>
    <w:pPr>
      <w:spacing w:before="100" w:beforeAutospacing="1" w:after="100" w:afterAutospacing="1"/>
    </w:pPr>
    <w:rPr>
      <w:sz w:val="24"/>
      <w:szCs w:val="24"/>
    </w:rPr>
  </w:style>
  <w:style w:type="character" w:customStyle="1" w:styleId="normaltextrun">
    <w:name w:val="normaltextrun"/>
    <w:basedOn w:val="a0"/>
    <w:rsid w:val="00335941"/>
  </w:style>
  <w:style w:type="character" w:customStyle="1" w:styleId="eop">
    <w:name w:val="eop"/>
    <w:basedOn w:val="a0"/>
    <w:rsid w:val="00335941"/>
  </w:style>
  <w:style w:type="character" w:customStyle="1" w:styleId="2">
    <w:name w:val="Незакрита згадка2"/>
    <w:basedOn w:val="a0"/>
    <w:uiPriority w:val="99"/>
    <w:semiHidden/>
    <w:unhideWhenUsed/>
    <w:rsid w:val="005B7436"/>
    <w:rPr>
      <w:color w:val="605E5C"/>
      <w:shd w:val="clear" w:color="auto" w:fill="E1DFDD"/>
    </w:rPr>
  </w:style>
  <w:style w:type="character" w:customStyle="1" w:styleId="31">
    <w:name w:val="Незакрита згадка3"/>
    <w:basedOn w:val="a0"/>
    <w:uiPriority w:val="99"/>
    <w:semiHidden/>
    <w:unhideWhenUsed/>
    <w:rsid w:val="00A33B8F"/>
    <w:rPr>
      <w:color w:val="605E5C"/>
      <w:shd w:val="clear" w:color="auto" w:fill="E1DFDD"/>
    </w:rPr>
  </w:style>
  <w:style w:type="paragraph" w:styleId="af5">
    <w:name w:val="annotation subject"/>
    <w:basedOn w:val="a5"/>
    <w:next w:val="a5"/>
    <w:link w:val="af6"/>
    <w:uiPriority w:val="99"/>
    <w:semiHidden/>
    <w:unhideWhenUsed/>
    <w:rsid w:val="00640D7D"/>
    <w:rPr>
      <w:b/>
      <w:bCs/>
    </w:rPr>
  </w:style>
  <w:style w:type="character" w:customStyle="1" w:styleId="af6">
    <w:name w:val="Тема примітки Знак"/>
    <w:basedOn w:val="a6"/>
    <w:link w:val="af5"/>
    <w:uiPriority w:val="99"/>
    <w:semiHidden/>
    <w:rsid w:val="00640D7D"/>
    <w:rPr>
      <w:rFonts w:ascii="Times New Roman" w:eastAsia="Times New Roman" w:hAnsi="Times New Roman" w:cs="Times New Roman"/>
      <w:b/>
      <w:bCs/>
      <w:sz w:val="20"/>
      <w:szCs w:val="20"/>
      <w:lang w:val="uk-UA" w:eastAsia="uk-UA"/>
    </w:rPr>
  </w:style>
  <w:style w:type="paragraph" w:styleId="af7">
    <w:name w:val="Revision"/>
    <w:hidden/>
    <w:uiPriority w:val="99"/>
    <w:semiHidden/>
    <w:rsid w:val="009B5EFC"/>
    <w:pPr>
      <w:spacing w:after="0" w:line="240" w:lineRule="auto"/>
    </w:pPr>
    <w:rPr>
      <w:rFonts w:ascii="Times New Roman" w:eastAsia="Times New Roman" w:hAnsi="Times New Roman" w:cs="Times New Roman"/>
      <w:sz w:val="28"/>
      <w:szCs w:val="28"/>
      <w:lang w:val="uk-UA" w:eastAsia="uk-UA"/>
    </w:rPr>
  </w:style>
  <w:style w:type="character" w:customStyle="1" w:styleId="UnresolvedMention">
    <w:name w:val="Unresolved Mention"/>
    <w:basedOn w:val="a0"/>
    <w:uiPriority w:val="99"/>
    <w:semiHidden/>
    <w:unhideWhenUsed/>
    <w:rsid w:val="00FE67D5"/>
    <w:rPr>
      <w:color w:val="605E5C"/>
      <w:shd w:val="clear" w:color="auto" w:fill="E1DFDD"/>
    </w:rPr>
  </w:style>
  <w:style w:type="paragraph" w:styleId="af8">
    <w:name w:val="No Spacing"/>
    <w:qFormat/>
    <w:rsid w:val="00700483"/>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474EA9"/>
    <w:pPr>
      <w:widowControl w:val="0"/>
    </w:pPr>
    <w:rPr>
      <w:rFonts w:ascii="Calibri" w:eastAsiaTheme="minorHAnsi"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354131">
      <w:bodyDiv w:val="1"/>
      <w:marLeft w:val="0"/>
      <w:marRight w:val="0"/>
      <w:marTop w:val="0"/>
      <w:marBottom w:val="0"/>
      <w:divBdr>
        <w:top w:val="none" w:sz="0" w:space="0" w:color="auto"/>
        <w:left w:val="none" w:sz="0" w:space="0" w:color="auto"/>
        <w:bottom w:val="none" w:sz="0" w:space="0" w:color="auto"/>
        <w:right w:val="none" w:sz="0" w:space="0" w:color="auto"/>
      </w:divBdr>
    </w:div>
    <w:div w:id="1570069288">
      <w:bodyDiv w:val="1"/>
      <w:marLeft w:val="0"/>
      <w:marRight w:val="0"/>
      <w:marTop w:val="0"/>
      <w:marBottom w:val="0"/>
      <w:divBdr>
        <w:top w:val="none" w:sz="0" w:space="0" w:color="auto"/>
        <w:left w:val="none" w:sz="0" w:space="0" w:color="auto"/>
        <w:bottom w:val="none" w:sz="0" w:space="0" w:color="auto"/>
        <w:right w:val="none" w:sz="0" w:space="0" w:color="auto"/>
      </w:divBdr>
      <w:divsChild>
        <w:div w:id="193346674">
          <w:marLeft w:val="0"/>
          <w:marRight w:val="0"/>
          <w:marTop w:val="0"/>
          <w:marBottom w:val="0"/>
          <w:divBdr>
            <w:top w:val="none" w:sz="0" w:space="0" w:color="auto"/>
            <w:left w:val="none" w:sz="0" w:space="0" w:color="auto"/>
            <w:bottom w:val="none" w:sz="0" w:space="0" w:color="auto"/>
            <w:right w:val="none" w:sz="0" w:space="0" w:color="auto"/>
          </w:divBdr>
        </w:div>
        <w:div w:id="514465152">
          <w:marLeft w:val="0"/>
          <w:marRight w:val="0"/>
          <w:marTop w:val="0"/>
          <w:marBottom w:val="0"/>
          <w:divBdr>
            <w:top w:val="none" w:sz="0" w:space="0" w:color="auto"/>
            <w:left w:val="none" w:sz="0" w:space="0" w:color="auto"/>
            <w:bottom w:val="none" w:sz="0" w:space="0" w:color="auto"/>
            <w:right w:val="none" w:sz="0" w:space="0" w:color="auto"/>
          </w:divBdr>
        </w:div>
        <w:div w:id="973294681">
          <w:marLeft w:val="0"/>
          <w:marRight w:val="0"/>
          <w:marTop w:val="0"/>
          <w:marBottom w:val="0"/>
          <w:divBdr>
            <w:top w:val="none" w:sz="0" w:space="0" w:color="auto"/>
            <w:left w:val="none" w:sz="0" w:space="0" w:color="auto"/>
            <w:bottom w:val="none" w:sz="0" w:space="0" w:color="auto"/>
            <w:right w:val="none" w:sz="0" w:space="0" w:color="auto"/>
          </w:divBdr>
        </w:div>
        <w:div w:id="1083455364">
          <w:marLeft w:val="0"/>
          <w:marRight w:val="0"/>
          <w:marTop w:val="0"/>
          <w:marBottom w:val="0"/>
          <w:divBdr>
            <w:top w:val="none" w:sz="0" w:space="0" w:color="auto"/>
            <w:left w:val="none" w:sz="0" w:space="0" w:color="auto"/>
            <w:bottom w:val="none" w:sz="0" w:space="0" w:color="auto"/>
            <w:right w:val="none" w:sz="0" w:space="0" w:color="auto"/>
          </w:divBdr>
        </w:div>
        <w:div w:id="1483035726">
          <w:marLeft w:val="0"/>
          <w:marRight w:val="0"/>
          <w:marTop w:val="0"/>
          <w:marBottom w:val="0"/>
          <w:divBdr>
            <w:top w:val="none" w:sz="0" w:space="0" w:color="auto"/>
            <w:left w:val="none" w:sz="0" w:space="0" w:color="auto"/>
            <w:bottom w:val="none" w:sz="0" w:space="0" w:color="auto"/>
            <w:right w:val="none" w:sz="0" w:space="0" w:color="auto"/>
          </w:divBdr>
        </w:div>
        <w:div w:id="1852724215">
          <w:marLeft w:val="0"/>
          <w:marRight w:val="0"/>
          <w:marTop w:val="0"/>
          <w:marBottom w:val="0"/>
          <w:divBdr>
            <w:top w:val="none" w:sz="0" w:space="0" w:color="auto"/>
            <w:left w:val="none" w:sz="0" w:space="0" w:color="auto"/>
            <w:bottom w:val="none" w:sz="0" w:space="0" w:color="auto"/>
            <w:right w:val="none" w:sz="0" w:space="0" w:color="auto"/>
          </w:divBdr>
        </w:div>
        <w:div w:id="2052489170">
          <w:marLeft w:val="0"/>
          <w:marRight w:val="0"/>
          <w:marTop w:val="0"/>
          <w:marBottom w:val="0"/>
          <w:divBdr>
            <w:top w:val="none" w:sz="0" w:space="0" w:color="auto"/>
            <w:left w:val="none" w:sz="0" w:space="0" w:color="auto"/>
            <w:bottom w:val="none" w:sz="0" w:space="0" w:color="auto"/>
            <w:right w:val="none" w:sz="0" w:space="0" w:color="auto"/>
          </w:divBdr>
        </w:div>
      </w:divsChild>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657609802">
      <w:bodyDiv w:val="1"/>
      <w:marLeft w:val="0"/>
      <w:marRight w:val="0"/>
      <w:marTop w:val="0"/>
      <w:marBottom w:val="0"/>
      <w:divBdr>
        <w:top w:val="none" w:sz="0" w:space="0" w:color="auto"/>
        <w:left w:val="none" w:sz="0" w:space="0" w:color="auto"/>
        <w:bottom w:val="none" w:sz="0" w:space="0" w:color="auto"/>
        <w:right w:val="none" w:sz="0" w:space="0" w:color="auto"/>
      </w:divBdr>
    </w:div>
    <w:div w:id="1665087773">
      <w:bodyDiv w:val="1"/>
      <w:marLeft w:val="0"/>
      <w:marRight w:val="0"/>
      <w:marTop w:val="0"/>
      <w:marBottom w:val="0"/>
      <w:divBdr>
        <w:top w:val="none" w:sz="0" w:space="0" w:color="auto"/>
        <w:left w:val="none" w:sz="0" w:space="0" w:color="auto"/>
        <w:bottom w:val="none" w:sz="0" w:space="0" w:color="auto"/>
        <w:right w:val="none" w:sz="0" w:space="0" w:color="auto"/>
      </w:divBdr>
    </w:div>
    <w:div w:id="17254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V.Motronchyk\AppData\Local\Microsoft\Windows\INetCache\Content.Outlook\GVJ7Q10Z\(https:\eur-lex.europa.eu\legal-content\EN\ALL\%3furi=CELEX%25%203A32009%20R0223" TargetMode="External"/><Relationship Id="rId18" Type="http://schemas.openxmlformats.org/officeDocument/2006/relationships/hyperlink" Target="http://www.ukrstat.gov.ua/operativ/menu/menu_u/if.htm" TargetMode="External"/><Relationship Id="rId26" Type="http://schemas.openxmlformats.org/officeDocument/2006/relationships/hyperlink" Target="https://ukrstat.gov.ua/norm_doc/2019/283/Politnka_peregl.pdf" TargetMode="External"/><Relationship Id="rId3" Type="http://schemas.openxmlformats.org/officeDocument/2006/relationships/styles" Target="styles.xml"/><Relationship Id="rId21" Type="http://schemas.openxmlformats.org/officeDocument/2006/relationships/hyperlink" Target="https://ukrstat.gov.ua/operativ/operativ2021/zd/oep/oep_u/arh_oep2021.html" TargetMode="External"/><Relationship Id="rId7" Type="http://schemas.openxmlformats.org/officeDocument/2006/relationships/endnotes" Target="endnotes.xml"/><Relationship Id="rId12" Type="http://schemas.openxmlformats.org/officeDocument/2006/relationships/hyperlink" Target="https://eur-lex.europa.eu/legalcontent/EN/TXT/PDF/?uri" TargetMode="External"/><Relationship Id="rId17" Type="http://schemas.openxmlformats.org/officeDocument/2006/relationships/hyperlink" Target="http://www.ukrstat.gov.ua/operativ/menu/menu_u/if.htm" TargetMode="External"/><Relationship Id="rId25" Type="http://schemas.openxmlformats.org/officeDocument/2006/relationships/hyperlink" Target="https://www.ukrstat.gov.ua/norm_doc/2019/283/Politnka_peregl.pdf" TargetMode="External"/><Relationship Id="rId2" Type="http://schemas.openxmlformats.org/officeDocument/2006/relationships/numbering" Target="numbering.xml"/><Relationship Id="rId16" Type="http://schemas.openxmlformats.org/officeDocument/2006/relationships/hyperlink" Target="http://www.ukrstat.gov.ua" TargetMode="External"/><Relationship Id="rId20" Type="http://schemas.openxmlformats.org/officeDocument/2006/relationships/hyperlink" Target="https://ukrstat.gov.ua/operativ/operativ2018/zd/roztp_ks_vp/arh_roztp_ks_vd_u.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klasf/st_kls/op_kzep_2016.htm" TargetMode="External"/><Relationship Id="rId24" Type="http://schemas.openxmlformats.org/officeDocument/2006/relationships/hyperlink" Target="https://ukrstat.gov.ua/norm_doc/2022/414/414.pdf" TargetMode="External"/><Relationship Id="rId5" Type="http://schemas.openxmlformats.org/officeDocument/2006/relationships/webSettings" Target="webSettings.xml"/><Relationship Id="rId15" Type="http://schemas.openxmlformats.org/officeDocument/2006/relationships/hyperlink" Target="https://www.imf.org/external/pubs/ft/bop/2007/pdf/bpm6.pdf" TargetMode="External"/><Relationship Id="rId23" Type="http://schemas.openxmlformats.org/officeDocument/2006/relationships/hyperlink" Target="https://www.ukrstat.gov.ua/norm_doc/2022/309/polit_z_yakost_22.zip" TargetMode="External"/><Relationship Id="rId28" Type="http://schemas.openxmlformats.org/officeDocument/2006/relationships/hyperlink" Target="https://ukrstat.gov.ua/norm_doc/2021/220/220.pdf" TargetMode="External"/><Relationship Id="rId10" Type="http://schemas.openxmlformats.org/officeDocument/2006/relationships/hyperlink" Target="https://ukrstat.gov.ua/klasf/st_kls/op_kise_2016.htm" TargetMode="External"/><Relationship Id="rId19" Type="http://schemas.openxmlformats.org/officeDocument/2006/relationships/hyperlink" Target="https://ukrstat.gov.ua/operativ/operativ2019/zd/gsztp_ES/gsztp_ES_u/arh_gsztp_ES_2019_u.html" TargetMode="External"/><Relationship Id="Rc1ae182e462742b3"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mtu.gov.ua/content/kodifikator-administrativnoteritorialnih-odinic-ta-teritoriy-teritorialnih-gromad.html" TargetMode="External"/><Relationship Id="rId14" Type="http://schemas.openxmlformats.org/officeDocument/2006/relationships/hyperlink" Target="https://eur-lex.europa.eu/legal-content/EN/TXT/PDF/?uri=CELEX:32005R0184&amp;from=EN" TargetMode="External"/><Relationship Id="rId22" Type="http://schemas.openxmlformats.org/officeDocument/2006/relationships/hyperlink" Target="https://ukrstat.gov.ua/druk/publicat/kat_u/2022/zb/08/zb_zt_ukr_2021.xlsx" TargetMode="External"/><Relationship Id="rId27" Type="http://schemas.openxmlformats.org/officeDocument/2006/relationships/hyperlink" Target="https://www.ukrstat.gov.ua/norm_doc/2021/220/220.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F7DF-C609-412D-B1C7-295ED8B2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42</Pages>
  <Words>39728</Words>
  <Characters>22645</Characters>
  <Application>Microsoft Office Word</Application>
  <DocSecurity>0</DocSecurity>
  <Lines>188</Lines>
  <Paragraphs>124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62249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new</cp:lastModifiedBy>
  <cp:revision>53</cp:revision>
  <cp:lastPrinted>2024-12-30T09:12:00Z</cp:lastPrinted>
  <dcterms:created xsi:type="dcterms:W3CDTF">2024-12-22T16:25:00Z</dcterms:created>
  <dcterms:modified xsi:type="dcterms:W3CDTF">2024-12-30T10:53:00Z</dcterms:modified>
</cp:coreProperties>
</file>