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E17C" w14:textId="77777777" w:rsidR="00F862AE" w:rsidRDefault="003C5F3B" w:rsidP="00A37268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Hlk178935220"/>
      <w:bookmarkStart w:id="1" w:name="_GoBack"/>
      <w:bookmarkEnd w:id="1"/>
      <w:r w:rsidRPr="00F862AE">
        <w:rPr>
          <w:rFonts w:ascii="Times New Roman" w:eastAsia="Times New Roman" w:hAnsi="Times New Roman" w:cs="Times New Roman"/>
          <w:b/>
          <w:sz w:val="28"/>
        </w:rPr>
        <w:t>Звіт про якість адміністративних даних</w:t>
      </w:r>
      <w:r w:rsidR="00F862A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862AE">
        <w:rPr>
          <w:rFonts w:ascii="Times New Roman" w:eastAsia="Times New Roman" w:hAnsi="Times New Roman" w:cs="Times New Roman"/>
          <w:b/>
          <w:sz w:val="28"/>
        </w:rPr>
        <w:t xml:space="preserve">Державної податкової служби України </w:t>
      </w:r>
    </w:p>
    <w:bookmarkEnd w:id="0"/>
    <w:p w14:paraId="1EAFA204" w14:textId="458FEC9C" w:rsidR="00A20972" w:rsidRDefault="007D5211" w:rsidP="00A37268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862AE">
        <w:rPr>
          <w:rFonts w:ascii="Times New Roman" w:eastAsia="Times New Roman" w:hAnsi="Times New Roman" w:cs="Times New Roman"/>
          <w:b/>
          <w:sz w:val="28"/>
        </w:rPr>
        <w:t xml:space="preserve">ДСС </w:t>
      </w:r>
      <w:r w:rsidR="004A1295" w:rsidRPr="00F862AE">
        <w:rPr>
          <w:rFonts w:ascii="Times New Roman" w:eastAsia="Times New Roman" w:hAnsi="Times New Roman" w:cs="Times New Roman"/>
          <w:b/>
          <w:sz w:val="28"/>
        </w:rPr>
        <w:t>2</w:t>
      </w:r>
      <w:r w:rsidRPr="00F862AE">
        <w:rPr>
          <w:rFonts w:ascii="Times New Roman" w:eastAsia="Times New Roman" w:hAnsi="Times New Roman" w:cs="Times New Roman"/>
          <w:b/>
          <w:sz w:val="28"/>
        </w:rPr>
        <w:t>.0</w:t>
      </w:r>
      <w:r w:rsidR="004A1295" w:rsidRPr="00F862AE">
        <w:rPr>
          <w:rFonts w:ascii="Times New Roman" w:eastAsia="Times New Roman" w:hAnsi="Times New Roman" w:cs="Times New Roman"/>
          <w:b/>
          <w:sz w:val="28"/>
        </w:rPr>
        <w:t>3</w:t>
      </w:r>
      <w:r w:rsidR="001B5FD6" w:rsidRPr="00F862AE">
        <w:rPr>
          <w:rFonts w:ascii="Times New Roman" w:eastAsia="Times New Roman" w:hAnsi="Times New Roman" w:cs="Times New Roman"/>
          <w:b/>
          <w:sz w:val="28"/>
        </w:rPr>
        <w:t>.0</w:t>
      </w:r>
      <w:r w:rsidR="00E02A20" w:rsidRPr="00F862AE">
        <w:rPr>
          <w:rFonts w:ascii="Times New Roman" w:eastAsia="Times New Roman" w:hAnsi="Times New Roman" w:cs="Times New Roman"/>
          <w:b/>
          <w:sz w:val="28"/>
        </w:rPr>
        <w:t>8</w:t>
      </w:r>
      <w:r w:rsidR="001B5FD6" w:rsidRPr="00F862AE">
        <w:rPr>
          <w:rFonts w:ascii="Times New Roman" w:eastAsia="Times New Roman" w:hAnsi="Times New Roman" w:cs="Times New Roman"/>
          <w:b/>
          <w:sz w:val="28"/>
        </w:rPr>
        <w:t>.</w:t>
      </w:r>
      <w:r w:rsidR="00E02A20" w:rsidRPr="00F862AE">
        <w:rPr>
          <w:rFonts w:ascii="Times New Roman" w:eastAsia="Times New Roman" w:hAnsi="Times New Roman" w:cs="Times New Roman"/>
          <w:b/>
          <w:sz w:val="28"/>
        </w:rPr>
        <w:t>0</w:t>
      </w:r>
      <w:r w:rsidR="00EF3A2D" w:rsidRPr="00F862AE">
        <w:rPr>
          <w:rFonts w:ascii="Times New Roman" w:eastAsia="Times New Roman" w:hAnsi="Times New Roman" w:cs="Times New Roman"/>
          <w:b/>
          <w:sz w:val="28"/>
        </w:rPr>
        <w:t>1</w:t>
      </w:r>
      <w:r w:rsidR="001B5FD6" w:rsidRPr="00F862A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F3A2D" w:rsidRPr="00F862AE">
        <w:rPr>
          <w:rFonts w:ascii="Times New Roman" w:eastAsia="Times New Roman" w:hAnsi="Times New Roman" w:cs="Times New Roman"/>
          <w:b/>
          <w:sz w:val="28"/>
        </w:rPr>
        <w:t>"Використання та запаси палива"</w:t>
      </w:r>
    </w:p>
    <w:p w14:paraId="21FD728D" w14:textId="46D1301C" w:rsidR="00F862AE" w:rsidRPr="00F862AE" w:rsidRDefault="00F862AE" w:rsidP="00A37268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2E72FC5" w14:textId="77777777"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664"/>
        <w:gridCol w:w="6813"/>
      </w:tblGrid>
      <w:tr w:rsidR="00A20972" w14:paraId="313DC7B8" w14:textId="77777777" w:rsidTr="00F24124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7AE0" w14:textId="77777777" w:rsidR="00A20972" w:rsidRDefault="001B5FD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16A2D8" w14:textId="77777777" w:rsidR="00A20972" w:rsidRDefault="001B5FD6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62D" w14:textId="77777777" w:rsidR="00A20972" w:rsidRDefault="001B5FD6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2981E8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Критерії (запитання)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E4E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14:paraId="0CE5616E" w14:textId="77777777" w:rsidTr="00F24124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9CD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48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36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14:paraId="3B216D4A" w14:textId="77777777" w:rsidTr="00F24124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7F78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583" w14:textId="77777777" w:rsidR="00A20972" w:rsidRDefault="001B5FD6">
            <w:pPr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10B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15A03524" w14:textId="77777777" w:rsidTr="00F24124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5DD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FAED" w14:textId="77777777" w:rsidR="00A20972" w:rsidRDefault="001B5FD6">
            <w:pPr>
              <w:ind w:left="106" w:right="509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66A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14:paraId="4339D57E" w14:textId="77777777" w:rsidTr="00F24124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762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201" w14:textId="77777777" w:rsidR="00A20972" w:rsidRDefault="001B5FD6">
            <w:pPr>
              <w:ind w:left="139" w:right="434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B489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14:paraId="1441353A" w14:textId="77777777" w:rsidTr="00F24124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27EE" w14:textId="77777777" w:rsidR="00A20972" w:rsidRDefault="001B5FD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912F" w14:textId="77777777" w:rsidR="00A20972" w:rsidRDefault="001B5FD6">
            <w:pPr>
              <w:ind w:left="106" w:right="1051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2A2" w14:textId="77777777" w:rsidR="00A20972" w:rsidRPr="00D47940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67ADDE97" w14:textId="332F993E" w:rsidR="0085795B" w:rsidRPr="00D47940" w:rsidRDefault="000927E9" w:rsidP="00030215">
            <w:pPr>
              <w:spacing w:line="240" w:lineRule="auto"/>
              <w:ind w:left="108" w:right="11"/>
              <w:jc w:val="both"/>
            </w:pP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Адміністративні дані надаються за даними системи електронного адміністрування реалізації пального та спирту етилового (СЕА РПСЕ) на основі акцизних накладних форми </w:t>
            </w:r>
            <w:r w:rsidR="00E132C5" w:rsidRPr="00D47940">
              <w:rPr>
                <w:rFonts w:ascii="Times New Roman" w:eastAsia="Times New Roman" w:hAnsi="Times New Roman" w:cs="Times New Roman"/>
                <w:sz w:val="28"/>
              </w:rPr>
              <w:t>"</w:t>
            </w: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E132C5" w:rsidRPr="00D47940">
              <w:rPr>
                <w:rFonts w:ascii="Times New Roman" w:eastAsia="Times New Roman" w:hAnsi="Times New Roman" w:cs="Times New Roman"/>
                <w:sz w:val="28"/>
              </w:rPr>
              <w:t>",</w:t>
            </w: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затверджених </w:t>
            </w:r>
            <w:r w:rsidR="001D1424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аказом Міністерства фінансів України від </w:t>
            </w:r>
            <w:r w:rsidR="00030215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27.11.2020 № 729</w:t>
            </w:r>
            <w:r w:rsidR="001D1424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D1424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зареєстрованим в Міністерстві юстиції України</w:t>
            </w:r>
            <w:r w:rsidR="001D1424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14 грудня 2020 р. за № 1241/35524</w:t>
            </w:r>
          </w:p>
        </w:tc>
      </w:tr>
      <w:tr w:rsidR="00A20972" w14:paraId="150E2120" w14:textId="77777777" w:rsidTr="00F24124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AE7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1.4.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8AD" w14:textId="77777777" w:rsidR="00A20972" w:rsidRDefault="001B5FD6">
            <w:pPr>
              <w:ind w:left="106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C6A2" w14:textId="34C45587" w:rsidR="00A20972" w:rsidRPr="00D47940" w:rsidRDefault="00D20FB6" w:rsidP="00EF3A2D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7775" w:rsidRPr="00D47940">
              <w:rPr>
                <w:rFonts w:ascii="Times New Roman" w:eastAsia="Times New Roman" w:hAnsi="Times New Roman" w:cs="Times New Roman"/>
                <w:sz w:val="28"/>
              </w:rPr>
              <w:t>(1)</w:t>
            </w:r>
          </w:p>
        </w:tc>
      </w:tr>
      <w:tr w:rsidR="00A20972" w14:paraId="2132C92E" w14:textId="77777777" w:rsidTr="00F24124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E3B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3D3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8D4" w14:textId="6B11E4B9" w:rsidR="00A20972" w:rsidRPr="00D47940" w:rsidRDefault="00FA0F60">
            <w:pPr>
              <w:jc w:val="center"/>
              <w:rPr>
                <w:strike/>
              </w:rPr>
            </w:pPr>
            <w:r w:rsidRPr="00D47940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4</w:t>
            </w:r>
          </w:p>
        </w:tc>
      </w:tr>
      <w:tr w:rsidR="00A20972" w14:paraId="4724D8EE" w14:textId="77777777" w:rsidTr="00F24124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D39" w14:textId="77777777"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306F" w14:textId="174FB229" w:rsidR="00A20972" w:rsidRPr="00BE78D9" w:rsidRDefault="00450FE1">
            <w:pPr>
              <w:ind w:left="134"/>
            </w:pPr>
            <w:r w:rsidRPr="00BE78D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C2A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54423859" w14:textId="77777777" w:rsidTr="00F24124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BD9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6B" w14:textId="1C82658B" w:rsidR="00A20972" w:rsidRPr="00BE78D9" w:rsidRDefault="001B5FD6">
            <w:pPr>
              <w:ind w:left="134" w:firstLine="433"/>
              <w:jc w:val="both"/>
            </w:pPr>
            <w:r w:rsidRPr="00BE78D9">
              <w:rPr>
                <w:rFonts w:ascii="Times New Roman" w:eastAsia="Times New Roman" w:hAnsi="Times New Roman" w:cs="Times New Roman"/>
                <w:sz w:val="28"/>
              </w:rPr>
              <w:t xml:space="preserve">Чи задоволені ОДС </w:t>
            </w:r>
            <w:r w:rsidR="00450FE1" w:rsidRPr="00BE78D9">
              <w:rPr>
                <w:rFonts w:ascii="Times New Roman" w:hAnsi="Times New Roman" w:cs="Times New Roman"/>
                <w:sz w:val="28"/>
                <w:szCs w:val="28"/>
              </w:rPr>
              <w:t>актуальністю (частотою оновлення) та</w:t>
            </w:r>
            <w:r w:rsidR="00450FE1" w:rsidRPr="00BE78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BE78D9">
              <w:rPr>
                <w:rFonts w:ascii="Times New Roman" w:eastAsia="Times New Roman" w:hAnsi="Times New Roman" w:cs="Times New Roman"/>
                <w:sz w:val="28"/>
              </w:rPr>
              <w:t xml:space="preserve">повнотою отриманих від постачальника адміністративних даних?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2FC" w14:textId="77777777" w:rsidR="00A20972" w:rsidRPr="00D47940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41256FE3" w14:textId="77777777" w:rsidR="005D7558" w:rsidRPr="00D47940" w:rsidRDefault="005D7558" w:rsidP="0021416E">
            <w:pPr>
              <w:ind w:left="131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20972" w14:paraId="1C040611" w14:textId="77777777" w:rsidTr="00F24124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2DB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BAD7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52F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</w:tr>
      <w:tr w:rsidR="00A20972" w14:paraId="4D7FF779" w14:textId="77777777" w:rsidTr="00F24124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36B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C762" w14:textId="71AA4225" w:rsidR="00A20972" w:rsidRDefault="001B5FD6">
            <w:pPr>
              <w:ind w:left="134"/>
            </w:pPr>
            <w:r w:rsidRPr="00924B5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Точність </w:t>
            </w:r>
            <w:r w:rsidR="00450FE1" w:rsidRPr="00924B5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і</w:t>
            </w:r>
            <w:r w:rsidRPr="00924B5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надійність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993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D76184" w14:paraId="51DDC0E2" w14:textId="77777777" w:rsidTr="00F24124">
        <w:trPr>
          <w:trHeight w:val="13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CC73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3C68" w14:textId="77777777" w:rsidR="00A20972" w:rsidRDefault="001B5FD6">
            <w:pPr>
              <w:ind w:left="106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972" w14:textId="77777777" w:rsidR="00A20972" w:rsidRPr="00D47940" w:rsidRDefault="00401DC2">
            <w:pPr>
              <w:spacing w:after="51" w:line="240" w:lineRule="auto"/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D47940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D47940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D47940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14:paraId="06A3B830" w14:textId="77777777" w:rsidR="00A20972" w:rsidRPr="00D47940" w:rsidRDefault="00A20972" w:rsidP="006E1458">
            <w:pPr>
              <w:ind w:left="131"/>
            </w:pPr>
          </w:p>
        </w:tc>
      </w:tr>
      <w:tr w:rsidR="00A20972" w14:paraId="0EEA464C" w14:textId="77777777" w:rsidTr="00F24124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7D3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CF" w14:textId="77777777" w:rsidR="00A20972" w:rsidRDefault="001B5FD6">
            <w:pPr>
              <w:ind w:left="106" w:right="248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6EC" w14:textId="77777777" w:rsidR="00A20972" w:rsidRPr="00D47940" w:rsidRDefault="00401DC2" w:rsidP="00401DC2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D47940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D47940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D47940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14:paraId="23A0B814" w14:textId="77777777" w:rsidTr="00F24124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8BAE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6348" w14:textId="77777777" w:rsidR="00A20972" w:rsidRDefault="001B5FD6">
            <w:pPr>
              <w:ind w:left="106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AF86" w14:textId="6EFD05DB" w:rsidR="00794A57" w:rsidRPr="00D47940" w:rsidRDefault="00DE6251" w:rsidP="009210A3">
            <w:pPr>
              <w:pStyle w:val="Default"/>
              <w:ind w:left="136"/>
              <w:jc w:val="center"/>
              <w:rPr>
                <w:sz w:val="28"/>
                <w:szCs w:val="28"/>
              </w:rPr>
            </w:pPr>
            <w:r w:rsidRPr="00D47940">
              <w:rPr>
                <w:sz w:val="28"/>
                <w:szCs w:val="28"/>
              </w:rPr>
              <w:t>Ні</w:t>
            </w:r>
            <w:r w:rsidR="00794A57" w:rsidRPr="00D47940">
              <w:rPr>
                <w:sz w:val="28"/>
                <w:szCs w:val="28"/>
              </w:rPr>
              <w:t xml:space="preserve"> (</w:t>
            </w:r>
            <w:r w:rsidR="00EC5418" w:rsidRPr="00D47940">
              <w:rPr>
                <w:sz w:val="28"/>
                <w:szCs w:val="28"/>
              </w:rPr>
              <w:t>1</w:t>
            </w:r>
            <w:r w:rsidR="00794A57" w:rsidRPr="00D47940">
              <w:rPr>
                <w:sz w:val="28"/>
                <w:szCs w:val="28"/>
              </w:rPr>
              <w:t>)</w:t>
            </w:r>
          </w:p>
          <w:p w14:paraId="107996F4" w14:textId="32AD578B" w:rsidR="00A20972" w:rsidRPr="00D47940" w:rsidRDefault="00A20972" w:rsidP="00DE6251">
            <w:pPr>
              <w:spacing w:line="240" w:lineRule="auto"/>
              <w:rPr>
                <w:i/>
              </w:rPr>
            </w:pPr>
          </w:p>
        </w:tc>
      </w:tr>
      <w:tr w:rsidR="00A20972" w14:paraId="109AAD51" w14:textId="77777777" w:rsidTr="00F24124">
        <w:trPr>
          <w:trHeight w:val="15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BE6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3.4.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AF15" w14:textId="77777777" w:rsidR="00A20972" w:rsidRDefault="001B5FD6">
            <w:pPr>
              <w:ind w:left="139" w:firstLine="42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DE6" w14:textId="75955AD1" w:rsidR="0041645C" w:rsidRPr="00D47940" w:rsidRDefault="0041645C" w:rsidP="0041645C">
            <w:pPr>
              <w:pStyle w:val="Default"/>
              <w:ind w:left="136"/>
              <w:jc w:val="center"/>
              <w:rPr>
                <w:sz w:val="28"/>
                <w:szCs w:val="28"/>
              </w:rPr>
            </w:pPr>
            <w:r w:rsidRPr="00D47940">
              <w:rPr>
                <w:sz w:val="28"/>
                <w:szCs w:val="28"/>
              </w:rPr>
              <w:t>Так (</w:t>
            </w:r>
            <w:r w:rsidR="00FE2E45" w:rsidRPr="00D47940">
              <w:rPr>
                <w:sz w:val="28"/>
                <w:szCs w:val="28"/>
              </w:rPr>
              <w:t>0</w:t>
            </w:r>
            <w:r w:rsidRPr="00D47940">
              <w:rPr>
                <w:sz w:val="28"/>
                <w:szCs w:val="28"/>
              </w:rPr>
              <w:t>)</w:t>
            </w:r>
          </w:p>
          <w:p w14:paraId="3DEF4424" w14:textId="500CA68E" w:rsidR="00F24124" w:rsidRPr="00D47940" w:rsidRDefault="00F24124" w:rsidP="001E7456">
            <w:pPr>
              <w:spacing w:line="240" w:lineRule="auto"/>
              <w:ind w:left="13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Отримані дані перевіряються на повноту заповнення даних, доопрацьовуються в частині одиниць вимірювання, передбачених методологією ДСС</w:t>
            </w:r>
            <w:r w:rsidR="001E7456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3705D4D" w14:textId="7F84AF2D" w:rsidR="00FD2E3C" w:rsidRPr="00D47940" w:rsidRDefault="00A42191" w:rsidP="001E7456">
            <w:pPr>
              <w:spacing w:line="240" w:lineRule="auto"/>
              <w:ind w:left="13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Показники щодо обсягів запасів та використаного палива по країні в цілому та по регіонах формуються методом </w:t>
            </w:r>
            <w:r w:rsidR="00F24124"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компіляції</w:t>
            </w:r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даних, отриманих за результатами обстеження сукупності одиниць, що вивчається, із даними ДПС щодо обсягів залишків та реалізованого пального за видами (бензин моторний, </w:t>
            </w:r>
            <w:proofErr w:type="spellStart"/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газойлі</w:t>
            </w:r>
            <w:proofErr w:type="spellEnd"/>
            <w:r w:rsidRPr="00D47940">
              <w:rPr>
                <w:rFonts w:ascii="Times New Roman" w:hAnsi="Times New Roman" w:cs="Times New Roman"/>
                <w:i/>
                <w:sz w:val="28"/>
                <w:szCs w:val="28"/>
              </w:rPr>
              <w:t>, пропан і бутан скраплені).</w:t>
            </w:r>
          </w:p>
          <w:p w14:paraId="0F3C1FBF" w14:textId="2BDCCC93" w:rsidR="00F24124" w:rsidRPr="00D47940" w:rsidRDefault="00F24124" w:rsidP="00A42191">
            <w:pPr>
              <w:ind w:left="1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0972" w14:paraId="5D9BE5B1" w14:textId="77777777" w:rsidTr="00F24124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87B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82B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E062" w14:textId="2C116EB0" w:rsidR="00A20972" w:rsidRPr="00D47940" w:rsidRDefault="00FE2E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479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A20972" w14:paraId="7AC04A80" w14:textId="77777777" w:rsidTr="00F24124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C30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9510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8AC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6F340A99" w14:textId="77777777" w:rsidTr="00F24124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D4C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C8F" w14:textId="77777777"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C85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14:paraId="512167BB" w14:textId="77777777" w:rsidTr="00F24124">
        <w:trPr>
          <w:trHeight w:val="17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915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AE0" w14:textId="77777777" w:rsidR="00A20972" w:rsidRDefault="001B5FD6">
            <w:pPr>
              <w:ind w:left="106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Чи інформує завчасно постачальник адміністративних даних щодо їх перегляду?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6537" w14:textId="77777777" w:rsidR="00FE2E45" w:rsidRPr="00D47940" w:rsidRDefault="00FE2E45" w:rsidP="00FE2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  <w:p w14:paraId="6A80253C" w14:textId="5C115E43" w:rsidR="00C34C97" w:rsidRPr="00D47940" w:rsidRDefault="00FE2E45" w:rsidP="00FE2E45">
            <w:pPr>
              <w:pStyle w:val="Default"/>
              <w:ind w:left="136" w:right="125"/>
              <w:jc w:val="both"/>
              <w:rPr>
                <w:lang w:val="ru-RU"/>
              </w:rPr>
            </w:pPr>
            <w:r w:rsidRPr="00D47940">
              <w:rPr>
                <w:i/>
                <w:color w:val="auto"/>
                <w:sz w:val="28"/>
                <w:szCs w:val="28"/>
              </w:rPr>
              <w:t>Перегляду адміністративних даних не було</w:t>
            </w:r>
            <w:r w:rsidR="001E7456" w:rsidRPr="00D47940">
              <w:rPr>
                <w:i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 w:rsidR="00A20972" w14:paraId="2D5752E8" w14:textId="77777777" w:rsidTr="00F24124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138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47B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02EF" w14:textId="37AE97F2" w:rsidR="00A20972" w:rsidRPr="00D47940" w:rsidRDefault="00FE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9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20972" w14:paraId="0586810A" w14:textId="77777777" w:rsidTr="00F24124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E15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043" w14:textId="5C9216EA" w:rsidR="00A20972" w:rsidRDefault="00BE079D">
            <w:pPr>
              <w:ind w:left="106"/>
            </w:pPr>
            <w:r w:rsidRPr="00BE079D">
              <w:rPr>
                <w:rFonts w:ascii="Times New Roman" w:eastAsia="Times New Roman" w:hAnsi="Times New Roman" w:cs="Times New Roman"/>
                <w:b/>
                <w:sz w:val="28"/>
              </w:rPr>
              <w:t>Узгодженість і порівнянність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2DD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3609C554" w14:textId="77777777" w:rsidTr="00F24124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D90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5.1.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83D" w14:textId="6913AF30" w:rsidR="00A20972" w:rsidRPr="00D47940" w:rsidRDefault="001B5FD6">
            <w:pPr>
              <w:ind w:left="567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</w:t>
            </w:r>
            <w:r w:rsidR="00450FE1" w:rsidRPr="00D47940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450FE1" w:rsidRPr="00D479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450FE1"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часі?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E94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14:paraId="561B6A56" w14:textId="77777777" w:rsidTr="00F24124">
        <w:trPr>
          <w:trHeight w:val="19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EE2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5FF" w14:textId="4FB36D4F" w:rsidR="00A20972" w:rsidRPr="00D47940" w:rsidRDefault="001B5FD6" w:rsidP="00DF38F4">
            <w:pPr>
              <w:ind w:left="567"/>
              <w:jc w:val="both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</w:t>
            </w:r>
            <w:r w:rsidR="00DF38F4" w:rsidRPr="00D47940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?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5EE" w14:textId="77777777" w:rsidR="00A20972" w:rsidRPr="00D47940" w:rsidRDefault="001B5FD6">
            <w:pPr>
              <w:spacing w:after="51" w:line="240" w:lineRule="auto"/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7C2943D0" w14:textId="2F83BE4C" w:rsidR="00A20972" w:rsidRPr="00D47940" w:rsidRDefault="009957C8" w:rsidP="009957C8">
            <w:pPr>
              <w:spacing w:line="240" w:lineRule="auto"/>
              <w:ind w:left="108" w:right="11"/>
              <w:jc w:val="both"/>
            </w:pP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дані, отримані від  Державної податкової служби України, є повністю порівнюваними за </w:t>
            </w:r>
            <w:r w:rsidRPr="00D47940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2022-2023 </w:t>
            </w: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роки. </w:t>
            </w:r>
            <w:r w:rsidR="0040273F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Довжина динамічного ряду становить </w:t>
            </w:r>
            <w:r w:rsidR="00394E16" w:rsidRPr="00D47940"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  <w:r w:rsidR="000A00A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40273F" w:rsidRPr="00D47940">
              <w:rPr>
                <w:rFonts w:ascii="Times New Roman" w:eastAsia="Times New Roman" w:hAnsi="Times New Roman" w:cs="Times New Roman"/>
                <w:i/>
                <w:sz w:val="28"/>
              </w:rPr>
              <w:t>рок</w:t>
            </w:r>
            <w:r w:rsidR="000A00A5" w:rsidRPr="00D47940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="008F7767" w:rsidRPr="00D47940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</w:tr>
      <w:tr w:rsidR="00A20972" w14:paraId="2B60FAA0" w14:textId="77777777" w:rsidTr="00F24124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51B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F448" w14:textId="77777777"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138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A20972" w14:paraId="42946C85" w14:textId="77777777" w:rsidTr="00F24124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854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DF1" w14:textId="3FD80BF2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</w:t>
            </w:r>
            <w:r w:rsidR="003A42EF">
              <w:rPr>
                <w:rFonts w:ascii="Times New Roman" w:eastAsia="Times New Roman" w:hAnsi="Times New Roman" w:cs="Times New Roman"/>
                <w:b/>
                <w:sz w:val="28"/>
              </w:rPr>
              <w:t>ясність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EEB6" w14:textId="77777777" w:rsidR="00A20972" w:rsidRPr="00D47940" w:rsidRDefault="001B5FD6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23A713AA" w14:textId="77777777" w:rsidTr="00F24124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131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6DB3" w14:textId="77777777"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5142" w14:textId="6BD65AF2" w:rsidR="00A20972" w:rsidRPr="00D47940" w:rsidRDefault="00BE079D">
            <w:pPr>
              <w:jc w:val="center"/>
            </w:pPr>
            <w:r w:rsidRPr="00D47940">
              <w:rPr>
                <w:rFonts w:ascii="Times New Roman" w:eastAsia="Times New Roman" w:hAnsi="Times New Roman" w:cs="Times New Roman"/>
                <w:sz w:val="28"/>
              </w:rPr>
              <w:t>Так (1)</w:t>
            </w:r>
          </w:p>
        </w:tc>
      </w:tr>
      <w:tr w:rsidR="00A20972" w14:paraId="5884654E" w14:textId="77777777" w:rsidTr="00F24124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D8F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A7C2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B07" w14:textId="5ADC9087" w:rsidR="00A20972" w:rsidRPr="00D47940" w:rsidRDefault="00BE0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9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20972" w14:paraId="538E5142" w14:textId="77777777" w:rsidTr="00F24124">
        <w:trPr>
          <w:trHeight w:val="169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5267" w14:textId="77777777"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6EE" w14:textId="6C28464B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7650" w14:textId="1AE9B6FB" w:rsidR="00A20972" w:rsidRPr="00D47940" w:rsidRDefault="001B5FD6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3A42EF" w:rsidRPr="00D47940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  <w:p w14:paraId="2FD4AA57" w14:textId="313DDBFB" w:rsidR="0038685C" w:rsidRPr="00D47940" w:rsidRDefault="001B5FD6" w:rsidP="007D6C2D">
            <w:pPr>
              <w:spacing w:line="240" w:lineRule="auto"/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>Загальна оцінка як</w:t>
            </w:r>
            <w:r w:rsidR="00096F08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ості адміністративних даних </w:t>
            </w:r>
            <w:r w:rsidR="004C52C0" w:rsidRPr="00D47940">
              <w:rPr>
                <w:rFonts w:ascii="Times New Roman" w:eastAsia="Times New Roman" w:hAnsi="Times New Roman" w:cs="Times New Roman"/>
                <w:i/>
                <w:sz w:val="28"/>
              </w:rPr>
              <w:t>Державної податкової служби України щодо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обсяг</w:t>
            </w:r>
            <w:r w:rsidR="004C52C0" w:rsidRPr="00D47940">
              <w:rPr>
                <w:rFonts w:ascii="Times New Roman" w:eastAsia="Times New Roman" w:hAnsi="Times New Roman" w:cs="Times New Roman"/>
                <w:i/>
                <w:sz w:val="28"/>
              </w:rPr>
              <w:t>ів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реалізованого пального та обсяг</w:t>
            </w:r>
            <w:r w:rsidR="004C52C0" w:rsidRPr="00D47940">
              <w:rPr>
                <w:rFonts w:ascii="Times New Roman" w:eastAsia="Times New Roman" w:hAnsi="Times New Roman" w:cs="Times New Roman"/>
                <w:i/>
                <w:sz w:val="28"/>
              </w:rPr>
              <w:t>ів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залишків пального на кінець звітного періоду у платників акцизного податку на пальне (юридичних осіб та фізичних осіб-підприємців)</w:t>
            </w:r>
            <w:r w:rsidR="004C52C0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за регіонами України (для розрахунку показників щодо обсягів використання та запасів палива за видами по країні в цілому та по регіонах) та щодо переліку унікальних кодів ЄДРПОУ юридичних 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осіб - отримувачів пального</w:t>
            </w:r>
            <w:r w:rsidR="00006A92" w:rsidRPr="00D47940">
              <w:rPr>
                <w:rFonts w:ascii="Times New Roman" w:eastAsia="Times New Roman" w:hAnsi="Times New Roman" w:cs="Times New Roman"/>
                <w:i/>
                <w:sz w:val="28"/>
              </w:rPr>
              <w:t>,</w:t>
            </w:r>
            <w:r w:rsidR="00AD742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006A92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отриманих для проведення ДСС 2.03.08.01 "Використання та запаси палива" </w:t>
            </w: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хороша. </w:t>
            </w:r>
          </w:p>
          <w:p w14:paraId="0C9785D4" w14:textId="7E2638A8" w:rsidR="0038685C" w:rsidRPr="00D47940" w:rsidRDefault="0038685C" w:rsidP="007D6C2D">
            <w:pPr>
              <w:spacing w:line="240" w:lineRule="auto"/>
              <w:ind w:left="13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 можуть уважатися </w:t>
            </w:r>
            <w:r w:rsidR="004650D5" w:rsidRPr="00D4794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релевантними</w:t>
            </w:r>
            <w:r w:rsidR="004650D5"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для використання їх </w:t>
            </w:r>
            <w:r w:rsidR="00416B67" w:rsidRPr="00D47940">
              <w:rPr>
                <w:rFonts w:ascii="Times New Roman" w:eastAsia="Times New Roman" w:hAnsi="Times New Roman" w:cs="Times New Roman"/>
                <w:i/>
                <w:sz w:val="28"/>
              </w:rPr>
              <w:t>у статистичних цілях</w:t>
            </w: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  <w:p w14:paraId="10060F86" w14:textId="56399B50" w:rsidR="0038685C" w:rsidRPr="00D47940" w:rsidRDefault="0038685C" w:rsidP="007D6C2D">
            <w:pPr>
              <w:spacing w:line="240" w:lineRule="auto"/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47940">
              <w:rPr>
                <w:rFonts w:ascii="Times New Roman" w:eastAsia="Times New Roman" w:hAnsi="Times New Roman" w:cs="Times New Roman"/>
                <w:i/>
                <w:sz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15D0390E" w14:textId="77777777" w:rsidR="00A20972" w:rsidRDefault="00A20972" w:rsidP="000E3783">
      <w:pPr>
        <w:spacing w:line="240" w:lineRule="auto"/>
        <w:ind w:right="7387"/>
        <w:jc w:val="right"/>
      </w:pPr>
    </w:p>
    <w:sectPr w:rsidR="00A2097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05C51"/>
    <w:rsid w:val="000061EB"/>
    <w:rsid w:val="00006A92"/>
    <w:rsid w:val="00025EBA"/>
    <w:rsid w:val="00030215"/>
    <w:rsid w:val="00072565"/>
    <w:rsid w:val="000927E9"/>
    <w:rsid w:val="00096F08"/>
    <w:rsid w:val="000A00A5"/>
    <w:rsid w:val="000E3783"/>
    <w:rsid w:val="00111C2B"/>
    <w:rsid w:val="00127541"/>
    <w:rsid w:val="0017086B"/>
    <w:rsid w:val="001840AA"/>
    <w:rsid w:val="001908F5"/>
    <w:rsid w:val="0019783F"/>
    <w:rsid w:val="001A1558"/>
    <w:rsid w:val="001B5FD6"/>
    <w:rsid w:val="001B71C8"/>
    <w:rsid w:val="001D1424"/>
    <w:rsid w:val="001E7456"/>
    <w:rsid w:val="0021416E"/>
    <w:rsid w:val="002433DB"/>
    <w:rsid w:val="00253233"/>
    <w:rsid w:val="0026154E"/>
    <w:rsid w:val="002B1DF6"/>
    <w:rsid w:val="002C70BA"/>
    <w:rsid w:val="003763E4"/>
    <w:rsid w:val="0038685C"/>
    <w:rsid w:val="00394E16"/>
    <w:rsid w:val="003A42EF"/>
    <w:rsid w:val="003B070A"/>
    <w:rsid w:val="003B5F2A"/>
    <w:rsid w:val="003C5F3B"/>
    <w:rsid w:val="003D6198"/>
    <w:rsid w:val="00401DC2"/>
    <w:rsid w:val="0040273F"/>
    <w:rsid w:val="00412E66"/>
    <w:rsid w:val="0041645C"/>
    <w:rsid w:val="00416B67"/>
    <w:rsid w:val="00424DB4"/>
    <w:rsid w:val="00450FE1"/>
    <w:rsid w:val="00454024"/>
    <w:rsid w:val="004650D5"/>
    <w:rsid w:val="00481677"/>
    <w:rsid w:val="004A1295"/>
    <w:rsid w:val="004C52C0"/>
    <w:rsid w:val="004E3C7E"/>
    <w:rsid w:val="004E3D7F"/>
    <w:rsid w:val="004F6945"/>
    <w:rsid w:val="005220DE"/>
    <w:rsid w:val="00553A6B"/>
    <w:rsid w:val="00574945"/>
    <w:rsid w:val="00577067"/>
    <w:rsid w:val="005817E5"/>
    <w:rsid w:val="0059387D"/>
    <w:rsid w:val="005C085A"/>
    <w:rsid w:val="005D73DE"/>
    <w:rsid w:val="005D7558"/>
    <w:rsid w:val="00640A1B"/>
    <w:rsid w:val="006730B4"/>
    <w:rsid w:val="0067723F"/>
    <w:rsid w:val="006C74DA"/>
    <w:rsid w:val="006D4E1F"/>
    <w:rsid w:val="006E1458"/>
    <w:rsid w:val="00715E8D"/>
    <w:rsid w:val="0073082A"/>
    <w:rsid w:val="0078261E"/>
    <w:rsid w:val="00783E34"/>
    <w:rsid w:val="00784A86"/>
    <w:rsid w:val="00794A57"/>
    <w:rsid w:val="00794B32"/>
    <w:rsid w:val="007C0AFA"/>
    <w:rsid w:val="007C5942"/>
    <w:rsid w:val="007D2D3F"/>
    <w:rsid w:val="007D5211"/>
    <w:rsid w:val="007D6C2D"/>
    <w:rsid w:val="007F09BA"/>
    <w:rsid w:val="00811B59"/>
    <w:rsid w:val="00817FAD"/>
    <w:rsid w:val="00851655"/>
    <w:rsid w:val="0085795B"/>
    <w:rsid w:val="00874AB5"/>
    <w:rsid w:val="008773D9"/>
    <w:rsid w:val="008A05FF"/>
    <w:rsid w:val="008C3227"/>
    <w:rsid w:val="008F4EA4"/>
    <w:rsid w:val="008F7767"/>
    <w:rsid w:val="00906071"/>
    <w:rsid w:val="009210A3"/>
    <w:rsid w:val="00924B56"/>
    <w:rsid w:val="009860AF"/>
    <w:rsid w:val="00987FDC"/>
    <w:rsid w:val="009957C8"/>
    <w:rsid w:val="009C3963"/>
    <w:rsid w:val="009C7775"/>
    <w:rsid w:val="00A20972"/>
    <w:rsid w:val="00A37268"/>
    <w:rsid w:val="00A42191"/>
    <w:rsid w:val="00A74755"/>
    <w:rsid w:val="00A85192"/>
    <w:rsid w:val="00AB05DC"/>
    <w:rsid w:val="00AD7425"/>
    <w:rsid w:val="00B168F6"/>
    <w:rsid w:val="00B55C0E"/>
    <w:rsid w:val="00B65BFE"/>
    <w:rsid w:val="00B833F4"/>
    <w:rsid w:val="00B84DBF"/>
    <w:rsid w:val="00BA4751"/>
    <w:rsid w:val="00BB3BC3"/>
    <w:rsid w:val="00BD7EE3"/>
    <w:rsid w:val="00BE079D"/>
    <w:rsid w:val="00BE10AC"/>
    <w:rsid w:val="00BE78D9"/>
    <w:rsid w:val="00C056C6"/>
    <w:rsid w:val="00C22DF5"/>
    <w:rsid w:val="00C34C97"/>
    <w:rsid w:val="00C6572E"/>
    <w:rsid w:val="00C83888"/>
    <w:rsid w:val="00C86D90"/>
    <w:rsid w:val="00C87633"/>
    <w:rsid w:val="00C95FB3"/>
    <w:rsid w:val="00CF3DBF"/>
    <w:rsid w:val="00D16873"/>
    <w:rsid w:val="00D20FB6"/>
    <w:rsid w:val="00D47940"/>
    <w:rsid w:val="00D71A03"/>
    <w:rsid w:val="00D76184"/>
    <w:rsid w:val="00DD63A1"/>
    <w:rsid w:val="00DE6251"/>
    <w:rsid w:val="00DF38F4"/>
    <w:rsid w:val="00E02A20"/>
    <w:rsid w:val="00E132C5"/>
    <w:rsid w:val="00E52468"/>
    <w:rsid w:val="00E55872"/>
    <w:rsid w:val="00EA69E8"/>
    <w:rsid w:val="00EC5418"/>
    <w:rsid w:val="00EC5C16"/>
    <w:rsid w:val="00EC6062"/>
    <w:rsid w:val="00EF3A2D"/>
    <w:rsid w:val="00F24124"/>
    <w:rsid w:val="00F53959"/>
    <w:rsid w:val="00F646F0"/>
    <w:rsid w:val="00F862AE"/>
    <w:rsid w:val="00FA0F60"/>
    <w:rsid w:val="00FD2E3C"/>
    <w:rsid w:val="00FE2E45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048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 Знак Знак Знак Знак"/>
    <w:basedOn w:val="a"/>
    <w:rsid w:val="005D7558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"/>
    <w:basedOn w:val="a"/>
    <w:rsid w:val="00BA4751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794A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1D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957D3-0A44-4673-A3A6-010C9FE5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Віра БОЖОК</cp:lastModifiedBy>
  <cp:revision>2</cp:revision>
  <dcterms:created xsi:type="dcterms:W3CDTF">2024-12-13T13:05:00Z</dcterms:created>
  <dcterms:modified xsi:type="dcterms:W3CDTF">2024-12-13T13:05:00Z</dcterms:modified>
</cp:coreProperties>
</file>