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5440" w:rsidRPr="00C029A8" w:rsidRDefault="00D6098B" w:rsidP="00535440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029A8">
        <w:rPr>
          <w:b/>
          <w:bCs/>
          <w:sz w:val="28"/>
          <w:szCs w:val="28"/>
          <w:lang w:val="uk-UA"/>
        </w:rPr>
        <w:t xml:space="preserve">Звіт про якість адміністративних даних </w:t>
      </w:r>
      <w:r w:rsidR="00C029A8" w:rsidRPr="00C029A8">
        <w:rPr>
          <w:b/>
          <w:bCs/>
          <w:sz w:val="28"/>
          <w:szCs w:val="28"/>
          <w:lang w:val="uk-UA"/>
        </w:rPr>
        <w:t>ТОВ "ЄМАРКЕТ УКРАЇНА"</w:t>
      </w:r>
    </w:p>
    <w:p w:rsidR="0004309C" w:rsidRPr="0004309C" w:rsidRDefault="0004309C" w:rsidP="00D6098B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04309C">
        <w:rPr>
          <w:b/>
          <w:bCs/>
          <w:sz w:val="28"/>
          <w:szCs w:val="28"/>
          <w:lang w:val="uk-UA"/>
        </w:rPr>
        <w:t>щодо цін пропозицій із продажу квартир на вторинному ринку житла</w:t>
      </w:r>
    </w:p>
    <w:p w:rsidR="00314D9B" w:rsidRPr="00C029A8" w:rsidRDefault="00D6098B" w:rsidP="00D6098B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029A8">
        <w:rPr>
          <w:b/>
          <w:bCs/>
          <w:sz w:val="28"/>
          <w:szCs w:val="28"/>
          <w:lang w:val="uk-UA"/>
        </w:rPr>
        <w:t>ДСС 2.06.01.02 "Зміни цін на ринку житла"</w:t>
      </w:r>
    </w:p>
    <w:p w:rsidR="00DB448C" w:rsidRPr="00C02E2C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181551" w:rsidTr="00C02E2C">
        <w:trPr>
          <w:trHeight w:val="698"/>
        </w:trPr>
        <w:tc>
          <w:tcPr>
            <w:tcW w:w="636" w:type="dxa"/>
            <w:vAlign w:val="center"/>
          </w:tcPr>
          <w:p w:rsidR="00314D9B" w:rsidRPr="00C029A8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029A8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:rsidR="00314D9B" w:rsidRPr="00C029A8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029A8">
              <w:rPr>
                <w:sz w:val="28"/>
                <w:szCs w:val="28"/>
              </w:rPr>
              <w:t>Критерії</w:t>
            </w:r>
            <w:r w:rsidR="00314D9B" w:rsidRPr="00C029A8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:rsidR="00314D9B" w:rsidRPr="00C029A8" w:rsidRDefault="00314D9B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029A8">
              <w:rPr>
                <w:color w:val="000000" w:themeColor="text1"/>
                <w:sz w:val="28"/>
                <w:szCs w:val="28"/>
              </w:rPr>
              <w:t xml:space="preserve">Оцінка (вага </w:t>
            </w:r>
            <w:r w:rsidR="00CF21C4" w:rsidRPr="00C029A8">
              <w:rPr>
                <w:color w:val="000000" w:themeColor="text1"/>
                <w:sz w:val="28"/>
                <w:szCs w:val="28"/>
              </w:rPr>
              <w:t>критерію</w:t>
            </w:r>
            <w:r w:rsidRPr="00C029A8">
              <w:rPr>
                <w:color w:val="000000" w:themeColor="text1"/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029A8" w:rsidTr="00637DAB">
        <w:tc>
          <w:tcPr>
            <w:tcW w:w="636" w:type="dxa"/>
          </w:tcPr>
          <w:p w:rsidR="00314D9B" w:rsidRPr="00C029A8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:rsidR="00314D9B" w:rsidRPr="00C029A8" w:rsidRDefault="00314D9B" w:rsidP="009D415D">
            <w:pPr>
              <w:jc w:val="center"/>
              <w:rPr>
                <w:lang w:val="uk-UA"/>
              </w:rPr>
            </w:pPr>
            <w:r w:rsidRPr="00C029A8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:rsidR="00314D9B" w:rsidRPr="00C029A8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  <w:r w:rsidRPr="00C029A8">
              <w:rPr>
                <w:color w:val="000000" w:themeColor="text1"/>
                <w:lang w:val="uk-UA"/>
              </w:rPr>
              <w:t>3</w:t>
            </w:r>
          </w:p>
        </w:tc>
      </w:tr>
      <w:tr w:rsidR="00492267" w:rsidRPr="00C029A8" w:rsidTr="00637DAB">
        <w:tc>
          <w:tcPr>
            <w:tcW w:w="636" w:type="dxa"/>
          </w:tcPr>
          <w:p w:rsidR="00492267" w:rsidRPr="00C029A8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29A8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:rsidR="00492267" w:rsidRPr="00C029A8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029A8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:rsidR="00492267" w:rsidRPr="00C029A8" w:rsidRDefault="00492267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029A8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(1) </w:t>
            </w:r>
          </w:p>
        </w:tc>
      </w:tr>
      <w:tr w:rsidR="00C029A8" w:rsidRPr="00C029A8" w:rsidTr="00637DAB">
        <w:trPr>
          <w:trHeight w:val="984"/>
        </w:trPr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</w:pPr>
            <w:r w:rsidRPr="00C029A8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(1)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</w:pPr>
            <w:r w:rsidRPr="00C029A8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935665">
              <w:rPr>
                <w:rFonts w:eastAsia="Times New Roman" w:cs="Times New Roman"/>
                <w:sz w:val="28"/>
                <w:szCs w:val="28"/>
                <w:lang w:val="uk-UA"/>
              </w:rPr>
              <w:t>Так (1)</w:t>
            </w: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</w:pPr>
            <w:r w:rsidRPr="00C029A8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2850AD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Ні</w:t>
            </w:r>
            <w:r w:rsidR="00C029A8"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  <w:r w:rsidR="00C029A8"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)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000000" w:themeColor="text1"/>
              </w:rPr>
            </w:pPr>
            <w:r w:rsidRPr="00C029A8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2850AD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4</w:t>
            </w:r>
            <w:r w:rsidR="00C029A8" w:rsidRPr="00C029A8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029A8">
              <w:rPr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tabs>
                <w:tab w:val="left" w:pos="1185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029A8">
              <w:rPr>
                <w:b/>
                <w:color w:val="000000" w:themeColor="text1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029A8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i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(1) </w:t>
            </w:r>
          </w:p>
        </w:tc>
      </w:tr>
      <w:tr w:rsidR="00C029A8" w:rsidRPr="00C029A8" w:rsidTr="00637DAB">
        <w:trPr>
          <w:trHeight w:val="398"/>
        </w:trPr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</w:pPr>
            <w:r w:rsidRPr="00C029A8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29A8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</w:pPr>
            <w:r w:rsidRPr="00C029A8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029A8" w:rsidRPr="00181551" w:rsidTr="00637DAB">
        <w:tc>
          <w:tcPr>
            <w:tcW w:w="636" w:type="dxa"/>
          </w:tcPr>
          <w:p w:rsidR="00C029A8" w:rsidRPr="00935665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935665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297" w:type="dxa"/>
            <w:shd w:val="clear" w:color="auto" w:fill="auto"/>
          </w:tcPr>
          <w:p w:rsidR="00C029A8" w:rsidRPr="00935665" w:rsidRDefault="00C029A8" w:rsidP="00C029A8">
            <w:pPr>
              <w:pStyle w:val="Default"/>
              <w:ind w:firstLine="526"/>
              <w:jc w:val="both"/>
            </w:pPr>
            <w:r w:rsidRPr="00935665">
              <w:rPr>
                <w:sz w:val="28"/>
                <w:szCs w:val="28"/>
              </w:rPr>
              <w:t xml:space="preserve">Чи наявна </w:t>
            </w:r>
            <w:r w:rsidRPr="00935665">
              <w:rPr>
                <w:color w:val="000000" w:themeColor="text1"/>
                <w:sz w:val="28"/>
                <w:szCs w:val="28"/>
              </w:rPr>
              <w:t xml:space="preserve">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706899" w:rsidRDefault="00935665" w:rsidP="00C029A8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06899">
              <w:rPr>
                <w:rFonts w:eastAsia="Times New Roman" w:cs="Times New Roman"/>
                <w:sz w:val="28"/>
                <w:szCs w:val="28"/>
                <w:lang w:val="uk-UA"/>
              </w:rPr>
              <w:t>Так</w:t>
            </w:r>
            <w:r w:rsidR="00C029A8" w:rsidRPr="00706899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(</w:t>
            </w:r>
            <w:r w:rsidRPr="00706899"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  <w:r w:rsidR="00C029A8" w:rsidRPr="00706899">
              <w:rPr>
                <w:rFonts w:eastAsia="Times New Roman" w:cs="Times New Roman"/>
                <w:sz w:val="28"/>
                <w:szCs w:val="28"/>
                <w:lang w:val="uk-UA"/>
              </w:rPr>
              <w:t>)</w:t>
            </w:r>
          </w:p>
          <w:p w:rsidR="00935665" w:rsidRPr="00706899" w:rsidRDefault="007A342C" w:rsidP="007A342C">
            <w:pPr>
              <w:ind w:firstLine="455"/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06899">
              <w:rPr>
                <w:rFonts w:eastAsia="Times New Roman" w:cs="Times New Roman"/>
                <w:i/>
                <w:sz w:val="28"/>
                <w:lang w:val="uk-UA"/>
              </w:rPr>
              <w:t xml:space="preserve">Для проведення аналізу </w:t>
            </w:r>
            <w:r w:rsidR="00CA36F4" w:rsidRPr="00181551">
              <w:rPr>
                <w:rFonts w:eastAsia="Times New Roman" w:cs="Times New Roman"/>
                <w:i/>
                <w:sz w:val="28"/>
                <w:lang w:val="uk-UA"/>
              </w:rPr>
              <w:t>й</w:t>
            </w:r>
            <w:r w:rsidRPr="00181551">
              <w:rPr>
                <w:rFonts w:eastAsia="Times New Roman" w:cs="Times New Roman"/>
                <w:i/>
                <w:sz w:val="28"/>
                <w:lang w:val="uk-UA"/>
              </w:rPr>
              <w:t xml:space="preserve"> оцінювання адміністративних даних використовуються дані з відкритих джерел інформації, отриман</w:t>
            </w:r>
            <w:r w:rsidR="00CA36F4" w:rsidRPr="00181551">
              <w:rPr>
                <w:rFonts w:eastAsia="Times New Roman" w:cs="Times New Roman"/>
                <w:i/>
                <w:sz w:val="28"/>
                <w:lang w:val="uk-UA"/>
              </w:rPr>
              <w:t>і</w:t>
            </w:r>
            <w:r w:rsidRPr="00181551">
              <w:rPr>
                <w:rFonts w:eastAsia="Times New Roman" w:cs="Times New Roman"/>
                <w:i/>
                <w:sz w:val="28"/>
                <w:lang w:val="uk-UA"/>
              </w:rPr>
              <w:t xml:space="preserve"> методом </w:t>
            </w:r>
            <w:proofErr w:type="spellStart"/>
            <w:r w:rsidRPr="00181551">
              <w:rPr>
                <w:rFonts w:eastAsia="Times New Roman" w:cs="Times New Roman"/>
                <w:i/>
                <w:sz w:val="28"/>
                <w:lang w:val="uk-UA"/>
              </w:rPr>
              <w:t>вебскрейпінгу</w:t>
            </w:r>
            <w:proofErr w:type="spellEnd"/>
            <w:r w:rsidRPr="00181551">
              <w:rPr>
                <w:rFonts w:eastAsia="Times New Roman" w:cs="Times New Roman"/>
                <w:i/>
                <w:sz w:val="28"/>
                <w:lang w:val="uk-UA"/>
              </w:rPr>
              <w:t xml:space="preserve">, </w:t>
            </w:r>
            <w:r w:rsidR="00FB7D2B" w:rsidRPr="00181551">
              <w:rPr>
                <w:rFonts w:eastAsia="Times New Roman" w:cs="Times New Roman"/>
                <w:i/>
                <w:sz w:val="28"/>
                <w:lang w:val="uk-UA"/>
              </w:rPr>
              <w:t>щ</w:t>
            </w:r>
            <w:r w:rsidRPr="00181551">
              <w:rPr>
                <w:rFonts w:eastAsia="Times New Roman" w:cs="Times New Roman"/>
                <w:i/>
                <w:sz w:val="28"/>
                <w:lang w:val="uk-UA"/>
              </w:rPr>
              <w:t>о надаються департаментом</w:t>
            </w:r>
            <w:r w:rsidRPr="00706899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="00706899" w:rsidRPr="00706899">
              <w:rPr>
                <w:rFonts w:eastAsia="Times New Roman" w:cs="Times New Roman"/>
                <w:i/>
                <w:sz w:val="28"/>
                <w:lang w:val="uk-UA"/>
              </w:rPr>
              <w:t>координації процесу збирання даних</w:t>
            </w:r>
            <w:r w:rsidR="00706899">
              <w:rPr>
                <w:rFonts w:eastAsia="Times New Roman" w:cs="Times New Roman"/>
                <w:i/>
                <w:sz w:val="28"/>
                <w:lang w:val="uk-UA"/>
              </w:rPr>
              <w:t>.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:rsidR="00C029A8" w:rsidRPr="00C029A8" w:rsidRDefault="00C029A8" w:rsidP="00C029A8">
            <w:pPr>
              <w:pStyle w:val="Default"/>
              <w:ind w:firstLine="526"/>
              <w:jc w:val="both"/>
            </w:pPr>
            <w:r w:rsidRPr="00C029A8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706899" w:rsidRDefault="00935665" w:rsidP="00C029A8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06899">
              <w:rPr>
                <w:rFonts w:eastAsia="Times New Roman"/>
                <w:color w:val="auto"/>
                <w:sz w:val="28"/>
                <w:szCs w:val="28"/>
              </w:rPr>
              <w:t xml:space="preserve">Так </w:t>
            </w:r>
            <w:r w:rsidR="00C029A8" w:rsidRPr="00706899">
              <w:rPr>
                <w:rFonts w:eastAsia="Times New Roman"/>
                <w:color w:val="auto"/>
                <w:sz w:val="28"/>
                <w:szCs w:val="28"/>
              </w:rPr>
              <w:t>(</w:t>
            </w:r>
            <w:r w:rsidRPr="00706899">
              <w:rPr>
                <w:rFonts w:eastAsia="Times New Roman"/>
                <w:color w:val="auto"/>
                <w:sz w:val="28"/>
                <w:szCs w:val="28"/>
              </w:rPr>
              <w:t>1</w:t>
            </w:r>
            <w:r w:rsidR="00C029A8" w:rsidRPr="00706899">
              <w:rPr>
                <w:rFonts w:eastAsia="Times New Roman"/>
                <w:color w:val="auto"/>
                <w:sz w:val="28"/>
                <w:szCs w:val="28"/>
              </w:rPr>
              <w:t xml:space="preserve">) </w:t>
            </w:r>
          </w:p>
          <w:p w:rsidR="00C029A8" w:rsidRPr="00706899" w:rsidRDefault="00CA36F4" w:rsidP="00706899">
            <w:pPr>
              <w:ind w:firstLine="463"/>
              <w:jc w:val="both"/>
              <w:rPr>
                <w:sz w:val="28"/>
                <w:szCs w:val="28"/>
                <w:lang w:val="uk-UA"/>
              </w:rPr>
            </w:pPr>
            <w:r w:rsidRPr="00181551">
              <w:rPr>
                <w:rFonts w:eastAsia="Times New Roman" w:cs="Times New Roman"/>
                <w:i/>
                <w:sz w:val="28"/>
                <w:lang w:val="uk-UA"/>
              </w:rPr>
              <w:t>У</w:t>
            </w:r>
            <w:r w:rsidR="00BA3D80" w:rsidRPr="00181551">
              <w:rPr>
                <w:rFonts w:eastAsia="Times New Roman" w:cs="Times New Roman"/>
                <w:i/>
                <w:sz w:val="28"/>
                <w:lang w:val="uk-UA"/>
              </w:rPr>
              <w:t xml:space="preserve"> межах ДСС проводився аналіз адміністративних</w:t>
            </w:r>
            <w:r w:rsidR="00BA3D80" w:rsidRPr="00706899">
              <w:rPr>
                <w:rFonts w:eastAsia="Times New Roman" w:cs="Times New Roman"/>
                <w:i/>
                <w:sz w:val="28"/>
                <w:lang w:val="uk-UA"/>
              </w:rPr>
              <w:t xml:space="preserve"> даних</w:t>
            </w:r>
            <w:r w:rsidR="00706899" w:rsidRPr="00706899">
              <w:rPr>
                <w:rFonts w:eastAsia="Times New Roman" w:cs="Times New Roman"/>
                <w:i/>
                <w:sz w:val="28"/>
                <w:lang w:val="uk-UA"/>
              </w:rPr>
              <w:t>,</w:t>
            </w:r>
            <w:r w:rsidR="00BA3D80" w:rsidRPr="00706899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="00706899" w:rsidRPr="00706899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отриманих від ТОВ "ЄМАРКЕТ УКРАЇНА", </w:t>
            </w:r>
            <w:r w:rsidR="00BA3D80" w:rsidRPr="00706899">
              <w:rPr>
                <w:rFonts w:eastAsia="Times New Roman" w:cs="Times New Roman"/>
                <w:i/>
                <w:sz w:val="28"/>
                <w:lang w:val="uk-UA"/>
              </w:rPr>
              <w:t>з використанням інформації, зазначеної в пункті 3.1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:rsidR="00C029A8" w:rsidRPr="00C029A8" w:rsidRDefault="00C029A8" w:rsidP="00C029A8">
            <w:pPr>
              <w:pStyle w:val="Default"/>
              <w:ind w:firstLine="526"/>
              <w:jc w:val="both"/>
            </w:pPr>
            <w:r w:rsidRPr="00C029A8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029A8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586D8E" w:rsidRDefault="00935665" w:rsidP="00C029A8">
            <w:pPr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586D8E">
              <w:rPr>
                <w:rFonts w:eastAsia="Times New Roman" w:cs="Times New Roman"/>
                <w:sz w:val="28"/>
                <w:szCs w:val="28"/>
                <w:lang w:val="uk-UA"/>
              </w:rPr>
              <w:t>Так</w:t>
            </w:r>
            <w:r w:rsidR="00C029A8" w:rsidRPr="00586D8E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(</w:t>
            </w:r>
            <w:r w:rsidRPr="00586D8E">
              <w:rPr>
                <w:rFonts w:eastAsia="Times New Roman" w:cs="Times New Roman"/>
                <w:sz w:val="28"/>
                <w:szCs w:val="28"/>
                <w:lang w:val="uk-UA"/>
              </w:rPr>
              <w:t>0</w:t>
            </w:r>
            <w:r w:rsidR="00C029A8" w:rsidRPr="00586D8E">
              <w:rPr>
                <w:rFonts w:eastAsia="Times New Roman" w:cs="Times New Roman"/>
                <w:sz w:val="28"/>
                <w:szCs w:val="28"/>
                <w:lang w:val="uk-UA"/>
              </w:rPr>
              <w:t>)</w:t>
            </w:r>
          </w:p>
          <w:p w:rsidR="00586D8E" w:rsidRPr="00586D8E" w:rsidRDefault="00935665" w:rsidP="00FB7D2B">
            <w:pPr>
              <w:ind w:firstLine="454"/>
              <w:jc w:val="both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  <w:r w:rsidRPr="00586D8E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Наявні похибки щодо</w:t>
            </w:r>
            <w:r w:rsidR="00586D8E" w:rsidRPr="00586D8E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отриманих первинних даних.</w:t>
            </w:r>
            <w:r w:rsidRPr="00586D8E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:rsidR="00935665" w:rsidRPr="00C029A8" w:rsidRDefault="00586D8E" w:rsidP="00FB7D2B">
            <w:pPr>
              <w:ind w:firstLine="454"/>
              <w:jc w:val="both"/>
              <w:rPr>
                <w:rFonts w:eastAsia="Times New Roman" w:cs="Times New Roman"/>
                <w:i/>
                <w:sz w:val="28"/>
                <w:szCs w:val="28"/>
                <w:highlight w:val="cyan"/>
                <w:lang w:val="uk-UA"/>
              </w:rPr>
            </w:pPr>
            <w:r w:rsidRPr="00586D8E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За </w:t>
            </w:r>
            <w:r w:rsidRPr="005952C7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наявності необґрунтованих випадів </w:t>
            </w:r>
            <w:r w:rsidRPr="00586D8E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щодо цін зазначена інформація не враховується при розрахунках індексів цін на житло.</w:t>
            </w:r>
          </w:p>
        </w:tc>
      </w:tr>
      <w:tr w:rsidR="00C029A8" w:rsidRPr="00181551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highlight w:val="yellow"/>
              </w:rPr>
            </w:pPr>
            <w:r w:rsidRPr="00C029A8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(0) </w:t>
            </w:r>
          </w:p>
          <w:p w:rsidR="00705951" w:rsidRPr="00C029A8" w:rsidRDefault="00C029A8" w:rsidP="00705951">
            <w:pPr>
              <w:ind w:firstLine="455"/>
              <w:jc w:val="both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За цим ДСС для розрахунків індексів цін на житло дані, отримані від ТОВ "ЄМАРКЕТ УКРАЇНА", компілюються з даними, отриманими із загальнодоступних джерел, зокрема з інтернет-ресурсів, ДСС "Показники щодо початку та завершення будівництва" та з адміністративними даними Мін’юсту.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029A8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7A342C" w:rsidRDefault="00935665" w:rsidP="00C029A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7A342C">
              <w:rPr>
                <w:rFonts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029A8">
              <w:rPr>
                <w:b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029A8">
              <w:rPr>
                <w:b/>
                <w:bCs/>
                <w:color w:val="000000" w:themeColor="text1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029A8" w:rsidRPr="00C029A8" w:rsidTr="00637DAB">
        <w:trPr>
          <w:trHeight w:val="283"/>
        </w:trPr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029A8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(1)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lastRenderedPageBreak/>
              <w:t>4.2.</w:t>
            </w:r>
          </w:p>
        </w:tc>
        <w:tc>
          <w:tcPr>
            <w:tcW w:w="7297" w:type="dxa"/>
            <w:shd w:val="clear" w:color="auto" w:fill="auto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029A8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eastAsia="Times New Roman" w:cs="Times New Roman"/>
                <w:i/>
                <w:iCs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Ні (0)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029A8">
              <w:rPr>
                <w:b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29A8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auto"/>
                <w:sz w:val="28"/>
                <w:szCs w:val="28"/>
              </w:rPr>
            </w:pPr>
            <w:r w:rsidRPr="00C029A8">
              <w:rPr>
                <w:b/>
                <w:bCs/>
                <w:color w:val="auto"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029A8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(1)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029A8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C029A8" w:rsidRPr="00C029A8" w:rsidRDefault="00C029A8" w:rsidP="00C029A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Так (1) </w:t>
            </w:r>
          </w:p>
          <w:p w:rsidR="00C029A8" w:rsidRPr="00F311A3" w:rsidRDefault="00C029A8" w:rsidP="00C029A8">
            <w:pPr>
              <w:ind w:firstLine="455"/>
              <w:jc w:val="both"/>
              <w:rPr>
                <w:rFonts w:eastAsia="Times" w:cs="Times New Roman"/>
                <w:i/>
                <w:noProof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Адміністративні </w:t>
            </w:r>
            <w:r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дані</w:t>
            </w:r>
            <w:r w:rsidR="00CA36F4"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,</w:t>
            </w:r>
            <w:r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отримані у 2023 році від ТОВ "ЄМАРКЕТ УКРАЇНА"</w:t>
            </w:r>
            <w:r w:rsidR="00CA36F4"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,</w:t>
            </w:r>
            <w:r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є повністю зіставними з даними</w:t>
            </w:r>
            <w:r w:rsidR="00CA36F4"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,</w:t>
            </w:r>
            <w:r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отриманими </w:t>
            </w:r>
            <w:r w:rsidR="00CA36F4"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в</w:t>
            </w:r>
            <w:r w:rsidRPr="00F808C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попередніх звітних</w:t>
            </w:r>
            <w:r w:rsidRPr="00F311A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періодах. Довжина динамічного ряду становить більше </w:t>
            </w:r>
            <w:r w:rsidR="007A342C" w:rsidRPr="00F311A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2</w:t>
            </w:r>
            <w:r w:rsidRPr="00F311A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рок</w:t>
            </w:r>
            <w:r w:rsidR="007A342C" w:rsidRPr="00F311A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ів</w:t>
            </w:r>
            <w:r w:rsidRPr="00F311A3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029A8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2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029A8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029A8">
              <w:rPr>
                <w:b/>
                <w:bCs/>
                <w:color w:val="000000" w:themeColor="text1"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  <w:r w:rsidRPr="00C029A8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ind w:firstLine="526"/>
              <w:jc w:val="both"/>
              <w:rPr>
                <w:color w:val="000000" w:themeColor="text1"/>
                <w:sz w:val="23"/>
                <w:szCs w:val="23"/>
              </w:rPr>
            </w:pPr>
            <w:r w:rsidRPr="00C029A8">
              <w:rPr>
                <w:color w:val="000000" w:themeColor="text1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F311A3" w:rsidRDefault="00C029A8" w:rsidP="00C029A8">
            <w:pPr>
              <w:ind w:right="12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311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Ні (0) </w:t>
            </w:r>
          </w:p>
          <w:p w:rsidR="00C029A8" w:rsidRPr="00F311A3" w:rsidRDefault="00C029A8" w:rsidP="00C029A8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C029A8" w:rsidRPr="00C029A8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:rsidR="00C029A8" w:rsidRPr="00C029A8" w:rsidRDefault="00C029A8" w:rsidP="00C029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029A8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C029A8" w:rsidP="00C029A8">
            <w:pPr>
              <w:jc w:val="center"/>
              <w:rPr>
                <w:rFonts w:cs="Times New Roman"/>
                <w:strike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C029A8" w:rsidRPr="00181551" w:rsidTr="00637DAB">
        <w:tc>
          <w:tcPr>
            <w:tcW w:w="636" w:type="dxa"/>
          </w:tcPr>
          <w:p w:rsidR="00C029A8" w:rsidRPr="00C029A8" w:rsidRDefault="00C029A8" w:rsidP="00C029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:rsidR="00C029A8" w:rsidRPr="00C029A8" w:rsidRDefault="00C029A8" w:rsidP="00C029A8">
            <w:pPr>
              <w:pStyle w:val="Default"/>
              <w:rPr>
                <w:sz w:val="28"/>
                <w:szCs w:val="28"/>
              </w:rPr>
            </w:pPr>
            <w:r w:rsidRPr="00C029A8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A8" w:rsidRPr="00C029A8" w:rsidRDefault="007A342C" w:rsidP="00C029A8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10</w:t>
            </w:r>
          </w:p>
          <w:p w:rsidR="00C029A8" w:rsidRPr="00C029A8" w:rsidRDefault="00C029A8" w:rsidP="0004309C">
            <w:pPr>
              <w:ind w:firstLine="455"/>
              <w:jc w:val="both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Загальна оцінка якості адміністративних даних</w:t>
            </w:r>
            <w:r w:rsidR="0004309C" w:rsidRP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, отриман</w:t>
            </w:r>
            <w:r w:rsid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их</w:t>
            </w:r>
            <w:r w:rsidR="0004309C" w:rsidRP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із загальнодоступного інформаційного ресурсу Olx.ua,</w:t>
            </w:r>
            <w:r w:rsid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04309C" w:rsidRP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щодо</w:t>
            </w:r>
            <w:r w:rsid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04309C" w:rsidRPr="0004309C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цін пропозицій із продажу квартир на вторинному ринку житла</w:t>
            </w:r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, які </w:t>
            </w:r>
            <w:r w:rsidR="00AE32F0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надаються</w:t>
            </w:r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відповідно до Договору про інформаційну взаємодію між ТОВ "ЄМАРКЕТ УКРАЇНА" та </w:t>
            </w:r>
            <w:proofErr w:type="spellStart"/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Держстатом</w:t>
            </w:r>
            <w:proofErr w:type="spellEnd"/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для проведення ДСС 2.06.01.02 " Зміни цін на ринку житла" – хороша.</w:t>
            </w:r>
          </w:p>
          <w:p w:rsidR="00C029A8" w:rsidRPr="00C029A8" w:rsidRDefault="00C029A8" w:rsidP="00C029A8">
            <w:pPr>
              <w:ind w:firstLine="455"/>
              <w:jc w:val="both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Адміністративні дані можуть уважатися релевантними для використання їх у статистичних цілях.</w:t>
            </w:r>
          </w:p>
          <w:p w:rsidR="00C029A8" w:rsidRPr="00C029A8" w:rsidRDefault="00C029A8" w:rsidP="00C029A8">
            <w:pPr>
              <w:ind w:firstLine="455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029A8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lastRenderedPageBreak/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314D9B" w:rsidRPr="00C029A8" w:rsidRDefault="00314D9B" w:rsidP="004F312A">
      <w:pPr>
        <w:jc w:val="center"/>
        <w:rPr>
          <w:lang w:val="uk-UA"/>
        </w:rPr>
      </w:pPr>
    </w:p>
    <w:sectPr w:rsidR="00314D9B" w:rsidRPr="00C029A8" w:rsidSect="00C02E2C">
      <w:headerReference w:type="default" r:id="rId9"/>
      <w:pgSz w:w="16838" w:h="11906" w:orient="landscape"/>
      <w:pgMar w:top="1389" w:right="1021" w:bottom="138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4981" w:rsidRDefault="00E54981" w:rsidP="005E5152">
      <w:pPr>
        <w:spacing w:after="0" w:line="240" w:lineRule="auto"/>
      </w:pPr>
      <w:r>
        <w:separator/>
      </w:r>
    </w:p>
  </w:endnote>
  <w:endnote w:type="continuationSeparator" w:id="0">
    <w:p w:rsidR="00E54981" w:rsidRDefault="00E54981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4981" w:rsidRDefault="00E54981" w:rsidP="005E5152">
      <w:pPr>
        <w:spacing w:after="0" w:line="240" w:lineRule="auto"/>
      </w:pPr>
      <w:r>
        <w:separator/>
      </w:r>
    </w:p>
  </w:footnote>
  <w:footnote w:type="continuationSeparator" w:id="0">
    <w:p w:rsidR="00E54981" w:rsidRDefault="00E54981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2052329"/>
      <w:docPartObj>
        <w:docPartGallery w:val="Page Numbers (Top of Page)"/>
        <w:docPartUnique/>
      </w:docPartObj>
    </w:sdtPr>
    <w:sdtEndPr/>
    <w:sdtContent>
      <w:p w:rsidR="00C02E2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902" w:rsidRPr="005A0902">
          <w:rPr>
            <w:noProof/>
            <w:lang w:val="uk-UA"/>
          </w:rPr>
          <w:t>4</w:t>
        </w:r>
        <w:r>
          <w:fldChar w:fldCharType="end"/>
        </w:r>
      </w:p>
      <w:p w:rsidR="00C1170C" w:rsidRDefault="00E54981" w:rsidP="00C02E2C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26FD9"/>
    <w:rsid w:val="0004309C"/>
    <w:rsid w:val="0004662E"/>
    <w:rsid w:val="000F178A"/>
    <w:rsid w:val="001070D5"/>
    <w:rsid w:val="00135F51"/>
    <w:rsid w:val="00181551"/>
    <w:rsid w:val="002028A5"/>
    <w:rsid w:val="00255742"/>
    <w:rsid w:val="00255D73"/>
    <w:rsid w:val="0026673F"/>
    <w:rsid w:val="002748DF"/>
    <w:rsid w:val="002850AD"/>
    <w:rsid w:val="00292396"/>
    <w:rsid w:val="002A61C2"/>
    <w:rsid w:val="002A7FBA"/>
    <w:rsid w:val="00314D9B"/>
    <w:rsid w:val="003B1E33"/>
    <w:rsid w:val="003B70A2"/>
    <w:rsid w:val="003E2F87"/>
    <w:rsid w:val="003E3EE6"/>
    <w:rsid w:val="003E40A4"/>
    <w:rsid w:val="003E64E1"/>
    <w:rsid w:val="003F4BEB"/>
    <w:rsid w:val="0041233E"/>
    <w:rsid w:val="0045687C"/>
    <w:rsid w:val="0047309F"/>
    <w:rsid w:val="00474265"/>
    <w:rsid w:val="004770FF"/>
    <w:rsid w:val="00485BEC"/>
    <w:rsid w:val="00492267"/>
    <w:rsid w:val="004D026F"/>
    <w:rsid w:val="004E4853"/>
    <w:rsid w:val="004F312A"/>
    <w:rsid w:val="00506A65"/>
    <w:rsid w:val="0053086E"/>
    <w:rsid w:val="00535440"/>
    <w:rsid w:val="00545E67"/>
    <w:rsid w:val="00547130"/>
    <w:rsid w:val="00556E7E"/>
    <w:rsid w:val="00571ADE"/>
    <w:rsid w:val="00586D8E"/>
    <w:rsid w:val="005952C7"/>
    <w:rsid w:val="005A0902"/>
    <w:rsid w:val="005B08A6"/>
    <w:rsid w:val="005C2C86"/>
    <w:rsid w:val="005E5152"/>
    <w:rsid w:val="005E55CC"/>
    <w:rsid w:val="005F368D"/>
    <w:rsid w:val="00610513"/>
    <w:rsid w:val="006377FF"/>
    <w:rsid w:val="00637DAB"/>
    <w:rsid w:val="006413B4"/>
    <w:rsid w:val="00663C47"/>
    <w:rsid w:val="00674EC4"/>
    <w:rsid w:val="006B1344"/>
    <w:rsid w:val="006D1666"/>
    <w:rsid w:val="006E28E0"/>
    <w:rsid w:val="00700D67"/>
    <w:rsid w:val="00705951"/>
    <w:rsid w:val="00706899"/>
    <w:rsid w:val="007633BF"/>
    <w:rsid w:val="007A342C"/>
    <w:rsid w:val="007D2D98"/>
    <w:rsid w:val="007D68E7"/>
    <w:rsid w:val="007E2D41"/>
    <w:rsid w:val="007E5EFF"/>
    <w:rsid w:val="007F0F07"/>
    <w:rsid w:val="007F31F3"/>
    <w:rsid w:val="00872AC3"/>
    <w:rsid w:val="00894C8B"/>
    <w:rsid w:val="0089677B"/>
    <w:rsid w:val="008B57AE"/>
    <w:rsid w:val="008B7FC8"/>
    <w:rsid w:val="008C7D41"/>
    <w:rsid w:val="008E051D"/>
    <w:rsid w:val="008F1FBE"/>
    <w:rsid w:val="009351BE"/>
    <w:rsid w:val="00935665"/>
    <w:rsid w:val="009544A7"/>
    <w:rsid w:val="0095719B"/>
    <w:rsid w:val="009574B3"/>
    <w:rsid w:val="009841A9"/>
    <w:rsid w:val="009842D2"/>
    <w:rsid w:val="00993E89"/>
    <w:rsid w:val="009A7268"/>
    <w:rsid w:val="009D415D"/>
    <w:rsid w:val="009F065F"/>
    <w:rsid w:val="00A21099"/>
    <w:rsid w:val="00A33970"/>
    <w:rsid w:val="00A53124"/>
    <w:rsid w:val="00AA307B"/>
    <w:rsid w:val="00AE32F0"/>
    <w:rsid w:val="00B43E0F"/>
    <w:rsid w:val="00B44F1B"/>
    <w:rsid w:val="00B534C9"/>
    <w:rsid w:val="00B65DAC"/>
    <w:rsid w:val="00BA3D80"/>
    <w:rsid w:val="00BE0FDC"/>
    <w:rsid w:val="00BE5D89"/>
    <w:rsid w:val="00C029A8"/>
    <w:rsid w:val="00C02E2C"/>
    <w:rsid w:val="00C03D9A"/>
    <w:rsid w:val="00C1170C"/>
    <w:rsid w:val="00C64B98"/>
    <w:rsid w:val="00C97106"/>
    <w:rsid w:val="00CA36F4"/>
    <w:rsid w:val="00CA71BF"/>
    <w:rsid w:val="00CB2594"/>
    <w:rsid w:val="00CC7638"/>
    <w:rsid w:val="00CD4A9B"/>
    <w:rsid w:val="00CF096D"/>
    <w:rsid w:val="00CF21C4"/>
    <w:rsid w:val="00D235A3"/>
    <w:rsid w:val="00D428FC"/>
    <w:rsid w:val="00D44672"/>
    <w:rsid w:val="00D6098B"/>
    <w:rsid w:val="00D62D1F"/>
    <w:rsid w:val="00D65B81"/>
    <w:rsid w:val="00D83F61"/>
    <w:rsid w:val="00DB448C"/>
    <w:rsid w:val="00E005F0"/>
    <w:rsid w:val="00E03DEA"/>
    <w:rsid w:val="00E04EDF"/>
    <w:rsid w:val="00E2699D"/>
    <w:rsid w:val="00E469DE"/>
    <w:rsid w:val="00E54981"/>
    <w:rsid w:val="00E54C63"/>
    <w:rsid w:val="00E6104C"/>
    <w:rsid w:val="00E654FB"/>
    <w:rsid w:val="00E65757"/>
    <w:rsid w:val="00E80D2F"/>
    <w:rsid w:val="00EA0BAF"/>
    <w:rsid w:val="00EE3D9C"/>
    <w:rsid w:val="00EF57F6"/>
    <w:rsid w:val="00F311A3"/>
    <w:rsid w:val="00F40655"/>
    <w:rsid w:val="00F431AB"/>
    <w:rsid w:val="00F50E2B"/>
    <w:rsid w:val="00F808C3"/>
    <w:rsid w:val="00F810A3"/>
    <w:rsid w:val="00FB09F1"/>
    <w:rsid w:val="00FB696B"/>
    <w:rsid w:val="00FB7D2B"/>
    <w:rsid w:val="00FC67F8"/>
    <w:rsid w:val="00FE190F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E4DDC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DF3DD-C525-46CF-B766-BB14176E1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A6621-D8AF-4C66-8C10-FD54B914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0E302-C6E2-4F22-99E2-C26DDB24F86E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БУГАЙЧУК Ганна Григорівна</cp:lastModifiedBy>
  <cp:revision>21</cp:revision>
  <dcterms:created xsi:type="dcterms:W3CDTF">2024-09-16T10:38:00Z</dcterms:created>
  <dcterms:modified xsi:type="dcterms:W3CDTF">2024-11-01T08:51:00Z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