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72" w:rsidRDefault="001B5FD6" w:rsidP="00DE0A81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Звіт про якість адміністративних даних</w:t>
      </w:r>
    </w:p>
    <w:p w:rsidR="00DE0A81" w:rsidRDefault="00874AB5" w:rsidP="00DE0A81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Державної податкової служби </w:t>
      </w:r>
      <w:r w:rsidR="007D5211">
        <w:rPr>
          <w:rFonts w:ascii="Times New Roman" w:eastAsia="Times New Roman" w:hAnsi="Times New Roman" w:cs="Times New Roman"/>
          <w:b/>
          <w:sz w:val="28"/>
        </w:rPr>
        <w:t>України</w:t>
      </w:r>
      <w:r w:rsidR="003056AB">
        <w:rPr>
          <w:rFonts w:ascii="Times New Roman" w:eastAsia="Times New Roman" w:hAnsi="Times New Roman" w:cs="Times New Roman"/>
          <w:b/>
          <w:sz w:val="28"/>
        </w:rPr>
        <w:t xml:space="preserve">, отриманих для проведення </w:t>
      </w:r>
    </w:p>
    <w:p w:rsidR="00DE0A81" w:rsidRDefault="007D5211" w:rsidP="00DE0A81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ДСС </w:t>
      </w:r>
      <w:r w:rsidR="00A85192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.0</w:t>
      </w:r>
      <w:r w:rsidR="00A85192">
        <w:rPr>
          <w:rFonts w:ascii="Times New Roman" w:eastAsia="Times New Roman" w:hAnsi="Times New Roman" w:cs="Times New Roman"/>
          <w:b/>
          <w:sz w:val="28"/>
        </w:rPr>
        <w:t>1</w:t>
      </w:r>
      <w:r w:rsidR="001B5FD6">
        <w:rPr>
          <w:rFonts w:ascii="Times New Roman" w:eastAsia="Times New Roman" w:hAnsi="Times New Roman" w:cs="Times New Roman"/>
          <w:b/>
          <w:sz w:val="28"/>
        </w:rPr>
        <w:t>.00.0</w:t>
      </w:r>
      <w:r w:rsidR="00A85192">
        <w:rPr>
          <w:rFonts w:ascii="Times New Roman" w:eastAsia="Times New Roman" w:hAnsi="Times New Roman" w:cs="Times New Roman"/>
          <w:b/>
          <w:sz w:val="28"/>
        </w:rPr>
        <w:t>6</w:t>
      </w:r>
      <w:r w:rsidR="001B5FD6">
        <w:rPr>
          <w:rFonts w:ascii="Times New Roman" w:eastAsia="Times New Roman" w:hAnsi="Times New Roman" w:cs="Times New Roman"/>
          <w:b/>
          <w:sz w:val="28"/>
        </w:rPr>
        <w:t xml:space="preserve"> "</w:t>
      </w:r>
      <w:r w:rsidR="00A85192">
        <w:rPr>
          <w:rFonts w:ascii="Times New Roman" w:eastAsia="Times New Roman" w:hAnsi="Times New Roman" w:cs="Times New Roman"/>
          <w:b/>
          <w:sz w:val="28"/>
        </w:rPr>
        <w:t xml:space="preserve">Рахунок витрат на охорону навколишнього </w:t>
      </w:r>
    </w:p>
    <w:p w:rsidR="00A20972" w:rsidRDefault="00A85192" w:rsidP="00DE0A81">
      <w:pPr>
        <w:spacing w:line="240" w:lineRule="auto"/>
        <w:ind w:right="-2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природного середовища</w:t>
      </w:r>
      <w:r w:rsidR="001B5FD6">
        <w:rPr>
          <w:rFonts w:ascii="Times New Roman" w:eastAsia="Times New Roman" w:hAnsi="Times New Roman" w:cs="Times New Roman"/>
          <w:b/>
          <w:sz w:val="28"/>
        </w:rPr>
        <w:t>"</w:t>
      </w:r>
    </w:p>
    <w:p w:rsidR="00A20972" w:rsidRDefault="001B5FD6">
      <w:pPr>
        <w:spacing w:after="7"/>
        <w:ind w:left="99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91" w:type="dxa"/>
        <w:tblInd w:w="-289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10"/>
        <w:gridCol w:w="4394"/>
        <w:gridCol w:w="5387"/>
      </w:tblGrid>
      <w:tr w:rsidR="006546B8" w:rsidTr="006546B8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B8" w:rsidRDefault="006546B8" w:rsidP="00BA4991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546B8" w:rsidRDefault="006546B8" w:rsidP="00BA4991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B8" w:rsidRPr="00F22D24" w:rsidRDefault="006546B8" w:rsidP="00BA4991">
            <w:pPr>
              <w:spacing w:after="53" w:line="240" w:lineRule="auto"/>
              <w:ind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546B8" w:rsidRPr="00F22D24" w:rsidRDefault="006546B8" w:rsidP="00BA4991">
            <w:pPr>
              <w:ind w:right="116"/>
              <w:jc w:val="center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>Критерії (запитання)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B8" w:rsidRDefault="006546B8" w:rsidP="00BA49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Оцінка (вага критерію), обґрунтування відповіді </w:t>
            </w:r>
          </w:p>
        </w:tc>
      </w:tr>
      <w:tr w:rsidR="00A20972" w:rsidTr="006546B8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</w:tr>
      <w:tr w:rsidR="00A20972" w:rsidTr="006546B8">
        <w:trPr>
          <w:trHeight w:val="7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8018C" w:rsidRDefault="001B5FD6" w:rsidP="006546B8">
            <w:pPr>
              <w:ind w:left="139"/>
            </w:pPr>
            <w:r w:rsidRPr="00A8018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Організаційно-розпорядча інформація щодо </w:t>
            </w:r>
            <w:r w:rsidR="00CA5BD6" w:rsidRPr="00A8018C">
              <w:rPr>
                <w:rFonts w:ascii="Times New Roman" w:eastAsia="Times New Roman" w:hAnsi="Times New Roman" w:cs="Times New Roman"/>
                <w:b/>
                <w:sz w:val="28"/>
              </w:rPr>
              <w:t>розпорядника</w:t>
            </w:r>
            <w:r w:rsidRPr="00A8018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адміністративних даних: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6546B8">
        <w:trPr>
          <w:trHeight w:val="10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1.1.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8018C" w:rsidRDefault="001B5FD6" w:rsidP="006546B8">
            <w:pPr>
              <w:ind w:left="106" w:right="116"/>
            </w:pPr>
            <w:r w:rsidRPr="00A8018C">
              <w:rPr>
                <w:rFonts w:ascii="Times New Roman" w:eastAsia="Times New Roman" w:hAnsi="Times New Roman" w:cs="Times New Roman"/>
                <w:sz w:val="28"/>
              </w:rPr>
              <w:t xml:space="preserve">Чи відомі власне ім’я, прізвище та посада відповідального за постачання адміністративних даних суб’єкта </w:t>
            </w:r>
            <w:r w:rsidR="00CA5BD6" w:rsidRPr="00A8018C">
              <w:rPr>
                <w:rFonts w:ascii="Times New Roman" w:eastAsia="Times New Roman" w:hAnsi="Times New Roman" w:cs="Times New Roman"/>
                <w:sz w:val="28"/>
              </w:rPr>
              <w:t>розпорядника</w:t>
            </w:r>
            <w:r w:rsidRPr="00A8018C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даних?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6546B8">
        <w:trPr>
          <w:trHeight w:val="10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8018C" w:rsidRDefault="001B5FD6" w:rsidP="006546B8">
            <w:pPr>
              <w:ind w:left="139" w:right="116"/>
            </w:pPr>
            <w:r w:rsidRPr="00A8018C">
              <w:rPr>
                <w:rFonts w:ascii="Times New Roman" w:eastAsia="Times New Roman" w:hAnsi="Times New Roman" w:cs="Times New Roman"/>
                <w:sz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</w:t>
            </w:r>
            <w:r w:rsidR="00CA5BD6" w:rsidRPr="00A8018C">
              <w:rPr>
                <w:rFonts w:ascii="Times New Roman" w:eastAsia="Times New Roman" w:hAnsi="Times New Roman" w:cs="Times New Roman"/>
                <w:sz w:val="28"/>
              </w:rPr>
              <w:t>розпорядника</w:t>
            </w:r>
            <w:r w:rsidRPr="00A8018C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даних?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6546B8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1.3.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8018C" w:rsidRDefault="001B5FD6" w:rsidP="006546B8">
            <w:pPr>
              <w:ind w:left="106" w:right="116"/>
            </w:pPr>
            <w:r w:rsidRPr="00A8018C">
              <w:rPr>
                <w:rFonts w:ascii="Times New Roman" w:eastAsia="Times New Roman" w:hAnsi="Times New Roman" w:cs="Times New Roman"/>
                <w:sz w:val="28"/>
              </w:rPr>
              <w:t xml:space="preserve">Чи відомі нормативно-правові акти стосовно функціональних повноважень щодо збору адміністративних даних їх </w:t>
            </w:r>
            <w:r w:rsidR="00CA5BD6" w:rsidRPr="00A8018C">
              <w:rPr>
                <w:rFonts w:ascii="Times New Roman" w:eastAsia="Times New Roman" w:hAnsi="Times New Roman" w:cs="Times New Roman"/>
                <w:sz w:val="28"/>
              </w:rPr>
              <w:t>розпорядником</w:t>
            </w:r>
            <w:r w:rsidRPr="00A8018C">
              <w:rPr>
                <w:rFonts w:ascii="Times New Roman" w:eastAsia="Times New Roman" w:hAnsi="Times New Roman" w:cs="Times New Roman"/>
                <w:sz w:val="28"/>
              </w:rPr>
              <w:t xml:space="preserve">?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3D28CB" w:rsidRDefault="00D60803" w:rsidP="001E7088">
            <w:pPr>
              <w:spacing w:line="240" w:lineRule="auto"/>
              <w:ind w:left="142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ДПС 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відповідно до покладених на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неї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завдань </w:t>
            </w:r>
            <w:r w:rsidRPr="001E7088">
              <w:rPr>
                <w:rFonts w:ascii="Times New Roman" w:eastAsia="Times New Roman" w:hAnsi="Times New Roman" w:cs="Times New Roman"/>
                <w:i/>
                <w:sz w:val="28"/>
              </w:rPr>
              <w:t xml:space="preserve">бере участь у проведенні аналізу надходжень податків, зборів, платежів, визначених Податковим кодексом України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. 64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п. 4. Положення про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ДПС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, з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атвердженого Постановою КМУ від  </w:t>
            </w:r>
            <w:r w:rsidRPr="001E7088">
              <w:rPr>
                <w:rFonts w:ascii="Times New Roman" w:eastAsia="Times New Roman" w:hAnsi="Times New Roman" w:cs="Times New Roman"/>
                <w:i/>
                <w:sz w:val="28"/>
              </w:rPr>
              <w:t xml:space="preserve">6 березня 2019 р. № 227 </w:t>
            </w:r>
            <w:r w:rsidRPr="00D6080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(зі змінами)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</w:tr>
      <w:tr w:rsidR="00A20972" w:rsidTr="006546B8">
        <w:trPr>
          <w:trHeight w:val="10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1.4.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існують правові </w:t>
            </w:r>
            <w:r w:rsidRPr="00A8018C">
              <w:rPr>
                <w:rFonts w:ascii="Times New Roman" w:eastAsia="Times New Roman" w:hAnsi="Times New Roman" w:cs="Times New Roman"/>
                <w:sz w:val="28"/>
              </w:rPr>
              <w:t xml:space="preserve">обмеження в </w:t>
            </w:r>
            <w:r w:rsidR="00CA5BD6" w:rsidRPr="00A8018C">
              <w:rPr>
                <w:rFonts w:ascii="Times New Roman" w:eastAsia="Times New Roman" w:hAnsi="Times New Roman" w:cs="Times New Roman"/>
                <w:sz w:val="28"/>
              </w:rPr>
              <w:t>розпорядника</w:t>
            </w:r>
            <w:r w:rsidRPr="00A8018C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 у частині необхідності запобігання їх розголошенню ОДС?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D20FB6" w:rsidP="00412E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="00412E66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E24482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A20972" w:rsidTr="006546B8">
        <w:trPr>
          <w:trHeight w:val="4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412E6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  <w:r w:rsidR="001B5FD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20972" w:rsidTr="006546B8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4C452A" w:rsidRDefault="004C452A" w:rsidP="006546B8">
            <w:pPr>
              <w:ind w:left="134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C452A">
              <w:rPr>
                <w:rFonts w:ascii="Times New Roman" w:eastAsia="Times New Roman" w:hAnsi="Times New Roman" w:cs="Times New Roman"/>
                <w:b/>
                <w:sz w:val="28"/>
              </w:rPr>
              <w:t>Актуальність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6546B8">
        <w:trPr>
          <w:trHeight w:val="9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2.1.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4C452A" w:rsidRDefault="004C452A" w:rsidP="006546B8">
            <w:pPr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  <w:r w:rsidRPr="004C452A">
              <w:rPr>
                <w:rFonts w:ascii="Times New Roman" w:eastAsia="Times New Roman" w:hAnsi="Times New Roman" w:cs="Times New Roman"/>
                <w:sz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6546B8">
        <w:trPr>
          <w:trHeight w:val="7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</w:tr>
      <w:tr w:rsidR="00A20972" w:rsidTr="006546B8">
        <w:trPr>
          <w:trHeight w:val="4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Точність та надійність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RPr="00D76184" w:rsidTr="006546B8">
        <w:trPr>
          <w:trHeight w:val="11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3.1.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4C452A" w:rsidRDefault="001B5FD6" w:rsidP="00393DC9">
            <w:pPr>
              <w:ind w:left="106" w:firstLine="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C452A">
              <w:rPr>
                <w:rFonts w:ascii="Times New Roman" w:eastAsia="Times New Roman" w:hAnsi="Times New Roman" w:cs="Times New Roman"/>
                <w:sz w:val="28"/>
              </w:rPr>
              <w:t>Так (1)</w:t>
            </w:r>
          </w:p>
          <w:p w:rsidR="00A20972" w:rsidRPr="004C452A" w:rsidRDefault="001B5FD6" w:rsidP="00AA129C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C452A"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Для проведення аналізу та оцінювання адміністративних даних використовуються дані </w:t>
            </w:r>
            <w:r w:rsidR="006730B4" w:rsidRPr="004C452A">
              <w:rPr>
                <w:rFonts w:ascii="Times New Roman" w:eastAsia="Times New Roman" w:hAnsi="Times New Roman" w:cs="Times New Roman"/>
                <w:i/>
                <w:sz w:val="28"/>
              </w:rPr>
              <w:t>Звіту про виконання</w:t>
            </w:r>
            <w:r w:rsidR="00553A6B" w:rsidRPr="004C452A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Зведеного</w:t>
            </w:r>
            <w:r w:rsidR="006730B4" w:rsidRPr="004C452A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бюджету </w:t>
            </w:r>
            <w:r w:rsidR="00553A6B" w:rsidRPr="004C452A">
              <w:rPr>
                <w:rFonts w:ascii="Times New Roman" w:eastAsia="Times New Roman" w:hAnsi="Times New Roman" w:cs="Times New Roman"/>
                <w:i/>
                <w:sz w:val="28"/>
              </w:rPr>
              <w:t xml:space="preserve">України </w:t>
            </w:r>
            <w:r w:rsidR="00A0370D">
              <w:rPr>
                <w:rFonts w:ascii="Times New Roman" w:eastAsia="Times New Roman" w:hAnsi="Times New Roman" w:cs="Times New Roman"/>
                <w:i/>
                <w:sz w:val="28"/>
              </w:rPr>
              <w:t>К</w:t>
            </w:r>
            <w:r w:rsidR="00553A6B" w:rsidRPr="004C452A">
              <w:rPr>
                <w:rFonts w:ascii="Times New Roman" w:eastAsia="Times New Roman" w:hAnsi="Times New Roman" w:cs="Times New Roman"/>
                <w:i/>
                <w:sz w:val="28"/>
              </w:rPr>
              <w:t>азначейства</w:t>
            </w:r>
            <w:r w:rsidR="00794B32" w:rsidRPr="004C452A">
              <w:rPr>
                <w:rFonts w:ascii="Times New Roman" w:eastAsia="Times New Roman" w:hAnsi="Times New Roman" w:cs="Times New Roman"/>
                <w:i/>
                <w:sz w:val="28"/>
              </w:rPr>
              <w:t xml:space="preserve">  щодо загального обсягу </w:t>
            </w:r>
            <w:r w:rsidR="00851655" w:rsidRPr="004C452A">
              <w:rPr>
                <w:rFonts w:ascii="Times New Roman" w:eastAsia="Times New Roman" w:hAnsi="Times New Roman" w:cs="Times New Roman"/>
                <w:i/>
                <w:sz w:val="28"/>
              </w:rPr>
              <w:t>екологічного податку</w:t>
            </w:r>
            <w:r w:rsidR="00D76184" w:rsidRPr="004C452A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553A6B" w:rsidRPr="004C452A">
              <w:rPr>
                <w:rFonts w:ascii="Times New Roman" w:eastAsia="Times New Roman" w:hAnsi="Times New Roman" w:cs="Times New Roman"/>
                <w:i/>
                <w:sz w:val="28"/>
              </w:rPr>
              <w:t>(без розподілу за видами економічної діяльності за КВЕД)</w:t>
            </w:r>
            <w:r w:rsidR="00D76184" w:rsidRPr="004C452A">
              <w:rPr>
                <w:rFonts w:ascii="Times New Roman" w:eastAsia="Times New Roman" w:hAnsi="Times New Roman" w:cs="Times New Roman"/>
                <w:i/>
                <w:sz w:val="28"/>
              </w:rPr>
              <w:t xml:space="preserve">. </w:t>
            </w:r>
            <w:r w:rsidR="00881D83" w:rsidRPr="00EA53AA">
              <w:rPr>
                <w:rFonts w:ascii="Times New Roman" w:eastAsia="Times New Roman" w:hAnsi="Times New Roman" w:cs="Times New Roman"/>
                <w:i/>
                <w:sz w:val="28"/>
              </w:rPr>
              <w:t>Дані</w:t>
            </w:r>
            <w:r w:rsidR="00881D8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отримуються</w:t>
            </w:r>
            <w:r w:rsidR="00881D83" w:rsidRPr="00EA53AA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881D83" w:rsidRPr="00BB3BC3">
              <w:rPr>
                <w:rFonts w:ascii="Times New Roman" w:eastAsia="Times New Roman" w:hAnsi="Times New Roman" w:cs="Times New Roman"/>
                <w:i/>
                <w:sz w:val="28"/>
              </w:rPr>
              <w:t>відповідно до угоди</w:t>
            </w:r>
            <w:r w:rsidR="00881D8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про інформаційне співробітництво між </w:t>
            </w:r>
            <w:proofErr w:type="spellStart"/>
            <w:r w:rsidR="00881D83">
              <w:rPr>
                <w:rFonts w:ascii="Times New Roman" w:eastAsia="Times New Roman" w:hAnsi="Times New Roman" w:cs="Times New Roman"/>
                <w:i/>
                <w:sz w:val="28"/>
              </w:rPr>
              <w:t>Держстатом</w:t>
            </w:r>
            <w:proofErr w:type="spellEnd"/>
            <w:r w:rsidR="00881D8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та Казначейством. </w:t>
            </w:r>
            <w:r w:rsidR="00C64CEB" w:rsidRPr="004C452A">
              <w:rPr>
                <w:rFonts w:ascii="Times New Roman" w:eastAsia="Times New Roman" w:hAnsi="Times New Roman" w:cs="Times New Roman"/>
                <w:i/>
                <w:sz w:val="28"/>
              </w:rPr>
              <w:t>Для порівняльного аналізу може</w:t>
            </w:r>
            <w:r w:rsidR="00393DC9" w:rsidRPr="004C452A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бути використана інформація щодо загальної суми надходження екологічного податку у цілому за усіма видами економічної діяльності. </w:t>
            </w:r>
          </w:p>
        </w:tc>
      </w:tr>
      <w:tr w:rsidR="00A20972" w:rsidTr="006546B8">
        <w:trPr>
          <w:trHeight w:val="1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06" w:right="248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проводився аналіз адміністративних даних з використанням інформації, зазначеної в пункті 3.1?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3D28CB" w:rsidRDefault="004C452A" w:rsidP="00177D2F">
            <w:pPr>
              <w:pStyle w:val="Default"/>
              <w:ind w:left="137"/>
              <w:jc w:val="both"/>
            </w:pPr>
            <w:r w:rsidRPr="00FC0CDD">
              <w:rPr>
                <w:i/>
                <w:sz w:val="28"/>
                <w:szCs w:val="28"/>
              </w:rPr>
              <w:t>В межах ДСС проводився аналіз адміністративних даних, визначений методологією ДСС.</w:t>
            </w:r>
            <w:r w:rsidR="00315AD0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A20972" w:rsidTr="006546B8">
        <w:trPr>
          <w:trHeight w:val="8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3.3.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412E66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Ні (1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:rsidR="00A20972" w:rsidRDefault="00A20972" w:rsidP="003D28CB">
            <w:pPr>
              <w:jc w:val="center"/>
            </w:pPr>
          </w:p>
        </w:tc>
      </w:tr>
      <w:tr w:rsidR="00A20972" w:rsidTr="006546B8">
        <w:trPr>
          <w:trHeight w:val="15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3.4.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2A" w:rsidRDefault="003315F0" w:rsidP="004C452A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4C452A">
              <w:rPr>
                <w:rFonts w:ascii="Times New Roman" w:eastAsia="Times New Roman" w:hAnsi="Times New Roman" w:cs="Times New Roman"/>
                <w:sz w:val="28"/>
              </w:rPr>
              <w:t xml:space="preserve"> Ні (1) </w:t>
            </w:r>
          </w:p>
          <w:p w:rsidR="00393DC9" w:rsidRPr="003315F0" w:rsidRDefault="00393DC9" w:rsidP="004C452A">
            <w:pPr>
              <w:ind w:left="137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20972" w:rsidTr="006546B8">
        <w:trPr>
          <w:trHeight w:val="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4C45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  <w:r w:rsidR="001B5FD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20972" w:rsidTr="006546B8">
        <w:trPr>
          <w:trHeight w:val="4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Своєчасність і пунктуальність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6546B8">
        <w:trPr>
          <w:trHeight w:val="4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4.1.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546B8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отримані адміністративні дані своєчасно?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2878B0" w:rsidTr="006546B8">
        <w:trPr>
          <w:trHeight w:val="6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6546B8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інформує </w:t>
            </w:r>
            <w:r w:rsidRPr="00A8018C">
              <w:rPr>
                <w:rFonts w:ascii="Times New Roman" w:eastAsia="Times New Roman" w:hAnsi="Times New Roman" w:cs="Times New Roman"/>
                <w:sz w:val="28"/>
              </w:rPr>
              <w:t xml:space="preserve">завчасно </w:t>
            </w:r>
            <w:r w:rsidR="00CA5BD6" w:rsidRPr="00A8018C">
              <w:rPr>
                <w:rFonts w:ascii="Times New Roman" w:eastAsia="Times New Roman" w:hAnsi="Times New Roman" w:cs="Times New Roman"/>
                <w:sz w:val="28"/>
              </w:rPr>
              <w:t>розпорядник</w:t>
            </w:r>
            <w:r w:rsidRPr="00A8018C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 щодо їх перегляду?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6E" w:rsidRPr="002878B0" w:rsidRDefault="0013156E" w:rsidP="0013156E">
            <w:pPr>
              <w:pStyle w:val="Default"/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Ні (0</w:t>
            </w:r>
            <w:r w:rsidRPr="002878B0">
              <w:rPr>
                <w:rFonts w:eastAsia="Times New Roman"/>
                <w:sz w:val="28"/>
              </w:rPr>
              <w:t>)</w:t>
            </w:r>
          </w:p>
          <w:p w:rsidR="00FF2896" w:rsidRPr="00675B3F" w:rsidRDefault="00FF2896" w:rsidP="00FF2896">
            <w:pPr>
              <w:pStyle w:val="Default"/>
              <w:ind w:left="136"/>
              <w:jc w:val="both"/>
              <w:rPr>
                <w:i/>
                <w:sz w:val="28"/>
                <w:szCs w:val="28"/>
              </w:rPr>
            </w:pPr>
          </w:p>
        </w:tc>
      </w:tr>
      <w:tr w:rsidR="002878B0" w:rsidTr="006546B8">
        <w:trPr>
          <w:trHeight w:val="3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Pr="00177D2F" w:rsidRDefault="00177D2F" w:rsidP="002878B0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1</w:t>
            </w:r>
          </w:p>
        </w:tc>
      </w:tr>
      <w:tr w:rsidR="002878B0" w:rsidTr="006546B8">
        <w:trPr>
          <w:trHeight w:val="5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Послідовність та зіставність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878B0" w:rsidTr="006546B8">
        <w:trPr>
          <w:trHeight w:val="5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5.1.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6546B8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є наявні адміністративні  дані послідовними у часі?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2878B0" w:rsidTr="006546B8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6546B8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Чи зберігають адміністративні дані зіставність?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spacing w:after="5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2878B0" w:rsidRPr="00D43BE7" w:rsidRDefault="002878B0" w:rsidP="004151FC">
            <w:pPr>
              <w:spacing w:line="240" w:lineRule="auto"/>
              <w:ind w:left="108" w:right="11"/>
            </w:pPr>
            <w:r w:rsidRPr="004151F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en-US"/>
              </w:rPr>
              <w:t>Адміністративні дані отримані за угодою, укладеною у 2020 році (актуалізованою у 2021, 2022 та 2023 роках), є повністю зіставними. Довжина динамічного ряду адміністративних даних становить 4 роки.</w:t>
            </w:r>
          </w:p>
        </w:tc>
      </w:tr>
      <w:tr w:rsidR="002878B0" w:rsidTr="006546B8">
        <w:trPr>
          <w:trHeight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6546B8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</w:tr>
      <w:tr w:rsidR="002878B0" w:rsidTr="006546B8">
        <w:trPr>
          <w:trHeight w:val="7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6.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Доступність і зрозумілість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878B0" w:rsidTr="006546B8">
        <w:trPr>
          <w:trHeight w:val="7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6.1.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6546B8">
            <w:pPr>
              <w:ind w:left="136"/>
            </w:pPr>
            <w:r>
              <w:rPr>
                <w:rFonts w:ascii="Times New Roman" w:eastAsia="Times New Roman" w:hAnsi="Times New Roman" w:cs="Times New Roman"/>
                <w:sz w:val="28"/>
              </w:rPr>
              <w:t>Чи надаються метадані до адміністративних даних?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spacing w:after="5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2878B0" w:rsidRDefault="002878B0" w:rsidP="002878B0">
            <w:pPr>
              <w:jc w:val="center"/>
            </w:pPr>
          </w:p>
        </w:tc>
      </w:tr>
      <w:tr w:rsidR="002878B0" w:rsidTr="006546B8">
        <w:trPr>
          <w:trHeight w:val="3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2878B0" w:rsidTr="006546B8">
        <w:trPr>
          <w:trHeight w:val="14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2878B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Default="002878B0" w:rsidP="006546B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Загальна оцінка критеріїв якості адміністративних даних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8B0" w:rsidRPr="00E52468" w:rsidRDefault="002878B0" w:rsidP="00A9773B">
            <w:pPr>
              <w:spacing w:line="240" w:lineRule="auto"/>
              <w:jc w:val="center"/>
              <w:rPr>
                <w:color w:val="auto"/>
              </w:rPr>
            </w:pPr>
            <w:r w:rsidRPr="00E52468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</w:t>
            </w:r>
            <w:r w:rsidR="00177D2F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3</w:t>
            </w:r>
          </w:p>
          <w:p w:rsidR="002878B0" w:rsidRPr="002878B0" w:rsidRDefault="002878B0" w:rsidP="00A9773B">
            <w:pPr>
              <w:spacing w:line="240" w:lineRule="auto"/>
              <w:ind w:left="13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</w:pPr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Загальна оцінка якості адміністративних даних </w:t>
            </w:r>
            <w:r w:rsidR="00A9773B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>ДПС</w:t>
            </w:r>
            <w:r w:rsidR="004A2508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 </w:t>
            </w:r>
            <w:r w:rsidR="00E3317A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 щодо екологічних податків</w:t>
            </w:r>
            <w:r w:rsidR="004A2508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 за видами економічної діяльності</w:t>
            </w:r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, які отримуються відповідно до угоди про </w:t>
            </w:r>
            <w:proofErr w:type="spellStart"/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>взаємообмін</w:t>
            </w:r>
            <w:proofErr w:type="spellEnd"/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 інформаційними ресурсами між </w:t>
            </w:r>
            <w:proofErr w:type="spellStart"/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>Держстатом</w:t>
            </w:r>
            <w:proofErr w:type="spellEnd"/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 та </w:t>
            </w:r>
            <w:r w:rsidR="00A9773B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ДПС для </w:t>
            </w:r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проведення ДСС </w:t>
            </w:r>
            <w:r w:rsidR="00A9773B" w:rsidRPr="00A9773B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>3.01.00.06 "Рахунок витрат на охорону навколишнього природного середовища"</w:t>
            </w:r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>− відмінна.</w:t>
            </w:r>
          </w:p>
          <w:p w:rsidR="002878B0" w:rsidRPr="002878B0" w:rsidRDefault="002878B0" w:rsidP="00A9773B">
            <w:pPr>
              <w:spacing w:line="240" w:lineRule="auto"/>
              <w:ind w:left="13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</w:pPr>
            <w:r w:rsidRPr="002878B0">
              <w:rPr>
                <w:rFonts w:ascii="Times New Roman" w:hAnsi="Times New Roman"/>
                <w:i/>
                <w:color w:val="auto"/>
                <w:spacing w:val="-5"/>
                <w:sz w:val="28"/>
                <w:lang w:eastAsia="en-US"/>
              </w:rPr>
              <w:t>Адміністративні дані можуть уважатися надійними  для використання їх для статистичних цілей.</w:t>
            </w:r>
          </w:p>
          <w:p w:rsidR="00D2228C" w:rsidRPr="00622105" w:rsidRDefault="002878B0" w:rsidP="00177D2F">
            <w:pPr>
              <w:spacing w:line="240" w:lineRule="auto"/>
              <w:ind w:left="106"/>
              <w:jc w:val="both"/>
            </w:pPr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>Результати цього оцінювання міститиме Стандартний звіт з якості ДСС, який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086230" w:rsidRDefault="00086230" w:rsidP="00086230">
      <w:pPr>
        <w:spacing w:line="240" w:lineRule="auto"/>
        <w:ind w:right="-473"/>
        <w:rPr>
          <w:color w:val="0070C0"/>
          <w:sz w:val="28"/>
          <w:szCs w:val="28"/>
        </w:rPr>
      </w:pPr>
    </w:p>
    <w:sectPr w:rsidR="00086230" w:rsidSect="006546B8">
      <w:headerReference w:type="default" r:id="rId7"/>
      <w:pgSz w:w="11909" w:h="16838"/>
      <w:pgMar w:top="851" w:right="427" w:bottom="709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6B8" w:rsidRDefault="006546B8" w:rsidP="006546B8">
      <w:pPr>
        <w:spacing w:line="240" w:lineRule="auto"/>
      </w:pPr>
      <w:r>
        <w:separator/>
      </w:r>
    </w:p>
  </w:endnote>
  <w:endnote w:type="continuationSeparator" w:id="0">
    <w:p w:rsidR="006546B8" w:rsidRDefault="006546B8" w:rsidP="00654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6B8" w:rsidRDefault="006546B8" w:rsidP="006546B8">
      <w:pPr>
        <w:spacing w:line="240" w:lineRule="auto"/>
      </w:pPr>
      <w:r>
        <w:separator/>
      </w:r>
    </w:p>
  </w:footnote>
  <w:footnote w:type="continuationSeparator" w:id="0">
    <w:p w:rsidR="006546B8" w:rsidRDefault="006546B8" w:rsidP="006546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856776"/>
      <w:docPartObj>
        <w:docPartGallery w:val="Page Numbers (Top of Page)"/>
        <w:docPartUnique/>
      </w:docPartObj>
    </w:sdtPr>
    <w:sdtContent>
      <w:p w:rsidR="006546B8" w:rsidRDefault="006546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46B8" w:rsidRDefault="006546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2"/>
    <w:rsid w:val="00086230"/>
    <w:rsid w:val="000933AD"/>
    <w:rsid w:val="00096F08"/>
    <w:rsid w:val="0013156E"/>
    <w:rsid w:val="00150004"/>
    <w:rsid w:val="00177D2F"/>
    <w:rsid w:val="001B5FD6"/>
    <w:rsid w:val="001E7088"/>
    <w:rsid w:val="002878B0"/>
    <w:rsid w:val="002C70BA"/>
    <w:rsid w:val="003056AB"/>
    <w:rsid w:val="00315AD0"/>
    <w:rsid w:val="003315F0"/>
    <w:rsid w:val="003763E4"/>
    <w:rsid w:val="00393DC9"/>
    <w:rsid w:val="003D28CB"/>
    <w:rsid w:val="00412E66"/>
    <w:rsid w:val="004151FC"/>
    <w:rsid w:val="00424DB4"/>
    <w:rsid w:val="004654E5"/>
    <w:rsid w:val="00493715"/>
    <w:rsid w:val="004A2508"/>
    <w:rsid w:val="004C452A"/>
    <w:rsid w:val="005220DE"/>
    <w:rsid w:val="00553A6B"/>
    <w:rsid w:val="00596028"/>
    <w:rsid w:val="00597024"/>
    <w:rsid w:val="005D73DE"/>
    <w:rsid w:val="00622105"/>
    <w:rsid w:val="006546B8"/>
    <w:rsid w:val="006730B4"/>
    <w:rsid w:val="0067723F"/>
    <w:rsid w:val="00701A1D"/>
    <w:rsid w:val="007122BC"/>
    <w:rsid w:val="00794B32"/>
    <w:rsid w:val="007D5211"/>
    <w:rsid w:val="007F09BA"/>
    <w:rsid w:val="00851655"/>
    <w:rsid w:val="00874AB5"/>
    <w:rsid w:val="00881D83"/>
    <w:rsid w:val="00906071"/>
    <w:rsid w:val="009C607E"/>
    <w:rsid w:val="009F0A40"/>
    <w:rsid w:val="00A0370D"/>
    <w:rsid w:val="00A20972"/>
    <w:rsid w:val="00A74755"/>
    <w:rsid w:val="00A8018C"/>
    <w:rsid w:val="00A85192"/>
    <w:rsid w:val="00A9773B"/>
    <w:rsid w:val="00AA129C"/>
    <w:rsid w:val="00AB05DC"/>
    <w:rsid w:val="00B13751"/>
    <w:rsid w:val="00BB0C66"/>
    <w:rsid w:val="00BC4528"/>
    <w:rsid w:val="00BE10AC"/>
    <w:rsid w:val="00C64CEB"/>
    <w:rsid w:val="00C83888"/>
    <w:rsid w:val="00CA5BD6"/>
    <w:rsid w:val="00D1501F"/>
    <w:rsid w:val="00D20FB6"/>
    <w:rsid w:val="00D2228C"/>
    <w:rsid w:val="00D43BE7"/>
    <w:rsid w:val="00D47379"/>
    <w:rsid w:val="00D60803"/>
    <w:rsid w:val="00D71A03"/>
    <w:rsid w:val="00D76184"/>
    <w:rsid w:val="00DB0AE3"/>
    <w:rsid w:val="00DE0A81"/>
    <w:rsid w:val="00DE1BB6"/>
    <w:rsid w:val="00DE37BF"/>
    <w:rsid w:val="00DF7DEB"/>
    <w:rsid w:val="00E24482"/>
    <w:rsid w:val="00E3317A"/>
    <w:rsid w:val="00E52468"/>
    <w:rsid w:val="00EF6088"/>
    <w:rsid w:val="00F53959"/>
    <w:rsid w:val="00F646F0"/>
    <w:rsid w:val="00FE3A7A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C45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semiHidden/>
    <w:unhideWhenUsed/>
    <w:rsid w:val="0015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150004"/>
    <w:rPr>
      <w:b/>
      <w:bCs/>
    </w:rPr>
  </w:style>
  <w:style w:type="paragraph" w:styleId="a5">
    <w:name w:val="header"/>
    <w:basedOn w:val="a"/>
    <w:link w:val="a6"/>
    <w:uiPriority w:val="99"/>
    <w:unhideWhenUsed/>
    <w:rsid w:val="006546B8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546B8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6546B8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546B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666C-0450-49E0-A06D-E7F0AEDD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2567</Words>
  <Characters>1464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new</cp:lastModifiedBy>
  <cp:revision>5</cp:revision>
  <dcterms:created xsi:type="dcterms:W3CDTF">2023-12-06T12:30:00Z</dcterms:created>
  <dcterms:modified xsi:type="dcterms:W3CDTF">2023-12-21T14:10:00Z</dcterms:modified>
</cp:coreProperties>
</file>