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72" w:rsidRDefault="001B5FD6" w:rsidP="001A28E8">
      <w:pPr>
        <w:spacing w:after="145" w:line="240" w:lineRule="auto"/>
        <w:ind w:left="994" w:hanging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0972" w:rsidRPr="00BC6F8A" w:rsidRDefault="001B5FD6" w:rsidP="001A28E8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Звіт про якість адміністративних даних</w:t>
      </w:r>
    </w:p>
    <w:p w:rsidR="00732399" w:rsidRDefault="00BC6F8A" w:rsidP="001A28E8">
      <w:pPr>
        <w:tabs>
          <w:tab w:val="left" w:pos="12049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6F8A">
        <w:rPr>
          <w:rFonts w:ascii="Times New Roman" w:eastAsia="Times New Roman" w:hAnsi="Times New Roman" w:cs="Times New Roman"/>
          <w:b/>
          <w:sz w:val="28"/>
        </w:rPr>
        <w:t>обласних державних адміністрацій</w:t>
      </w:r>
      <w:r w:rsidR="000D6D53">
        <w:rPr>
          <w:rFonts w:ascii="Times New Roman" w:eastAsia="Times New Roman" w:hAnsi="Times New Roman" w:cs="Times New Roman"/>
          <w:b/>
          <w:sz w:val="28"/>
        </w:rPr>
        <w:t>, отриманих для проведення</w:t>
      </w:r>
      <w:r w:rsidRPr="00BC6F8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20972" w:rsidRPr="00B905F2" w:rsidRDefault="007D5211" w:rsidP="001A28E8">
      <w:pPr>
        <w:tabs>
          <w:tab w:val="left" w:pos="12049"/>
        </w:tabs>
        <w:spacing w:line="240" w:lineRule="auto"/>
        <w:ind w:right="-23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ДСС </w:t>
      </w:r>
      <w:r w:rsidR="00A85192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A85192">
        <w:rPr>
          <w:rFonts w:ascii="Times New Roman" w:eastAsia="Times New Roman" w:hAnsi="Times New Roman" w:cs="Times New Roman"/>
          <w:b/>
          <w:sz w:val="28"/>
        </w:rPr>
        <w:t>1</w:t>
      </w:r>
      <w:r w:rsidR="001B5FD6">
        <w:rPr>
          <w:rFonts w:ascii="Times New Roman" w:eastAsia="Times New Roman" w:hAnsi="Times New Roman" w:cs="Times New Roman"/>
          <w:b/>
          <w:sz w:val="28"/>
        </w:rPr>
        <w:t>.00.0</w:t>
      </w:r>
      <w:r w:rsidR="0026154E">
        <w:rPr>
          <w:rFonts w:ascii="Times New Roman" w:eastAsia="Times New Roman" w:hAnsi="Times New Roman" w:cs="Times New Roman"/>
          <w:b/>
          <w:sz w:val="28"/>
        </w:rPr>
        <w:t>3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B52BE" w:rsidRPr="0078261E">
        <w:rPr>
          <w:rFonts w:ascii="Times New Roman" w:eastAsia="Times New Roman" w:hAnsi="Times New Roman" w:cs="Times New Roman"/>
          <w:b/>
          <w:sz w:val="28"/>
        </w:rPr>
        <w:t>“В</w:t>
      </w:r>
      <w:r w:rsidR="00A85192">
        <w:rPr>
          <w:rFonts w:ascii="Times New Roman" w:eastAsia="Times New Roman" w:hAnsi="Times New Roman" w:cs="Times New Roman"/>
          <w:b/>
          <w:sz w:val="28"/>
        </w:rPr>
        <w:t>итрат</w:t>
      </w:r>
      <w:r w:rsidR="0026154E">
        <w:rPr>
          <w:rFonts w:ascii="Times New Roman" w:eastAsia="Times New Roman" w:hAnsi="Times New Roman" w:cs="Times New Roman"/>
          <w:b/>
          <w:sz w:val="28"/>
        </w:rPr>
        <w:t>и</w:t>
      </w:r>
      <w:r w:rsidR="00A85192">
        <w:rPr>
          <w:rFonts w:ascii="Times New Roman" w:eastAsia="Times New Roman" w:hAnsi="Times New Roman" w:cs="Times New Roman"/>
          <w:b/>
          <w:sz w:val="28"/>
        </w:rPr>
        <w:t xml:space="preserve"> на охорону навколишнього </w:t>
      </w:r>
      <w:r w:rsidR="000D6D53">
        <w:rPr>
          <w:rFonts w:ascii="Times New Roman" w:eastAsia="Times New Roman" w:hAnsi="Times New Roman" w:cs="Times New Roman"/>
          <w:b/>
          <w:sz w:val="28"/>
        </w:rPr>
        <w:t>п</w:t>
      </w:r>
      <w:r w:rsidR="00A85192">
        <w:rPr>
          <w:rFonts w:ascii="Times New Roman" w:eastAsia="Times New Roman" w:hAnsi="Times New Roman" w:cs="Times New Roman"/>
          <w:b/>
          <w:sz w:val="28"/>
        </w:rPr>
        <w:t>риродного середовища</w:t>
      </w:r>
      <w:r w:rsidR="00EB52BE" w:rsidRPr="00B905F2">
        <w:rPr>
          <w:rFonts w:ascii="Times New Roman" w:eastAsia="Times New Roman" w:hAnsi="Times New Roman" w:cs="Times New Roman"/>
          <w:b/>
          <w:sz w:val="28"/>
          <w:lang w:val="ru-RU"/>
        </w:rPr>
        <w:t>”</w:t>
      </w:r>
    </w:p>
    <w:p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207" w:type="dxa"/>
        <w:tblInd w:w="-147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5245"/>
      </w:tblGrid>
      <w:tr w:rsidR="00A20972" w:rsidTr="001A28E8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Default="001B5FD6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spacing w:after="53" w:line="240" w:lineRule="auto"/>
              <w:ind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Default="001B5FD6" w:rsidP="00E8691B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Критерії (запитання)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:rsidTr="001A28E8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E8691B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:rsidTr="001A28E8">
        <w:trPr>
          <w:trHeight w:val="7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9" w:right="116"/>
            </w:pPr>
            <w:r w:rsidRPr="001A28E8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</w:t>
            </w:r>
            <w:r w:rsidR="00056567" w:rsidRPr="001A28E8">
              <w:rPr>
                <w:rFonts w:ascii="Times New Roman" w:eastAsia="Times New Roman" w:hAnsi="Times New Roman" w:cs="Times New Roman"/>
                <w:b/>
                <w:sz w:val="28"/>
              </w:rPr>
              <w:t>розпорядника</w:t>
            </w:r>
            <w:r w:rsidRPr="001A28E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адміністративних даних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28E8">
        <w:trPr>
          <w:trHeight w:val="10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1A28E8" w:rsidRDefault="001B5FD6" w:rsidP="00732399">
            <w:pPr>
              <w:ind w:left="106" w:right="116"/>
            </w:pP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056567" w:rsidRPr="001A28E8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2F3A76" w:rsidP="002F3A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Так (1)</w:t>
            </w:r>
          </w:p>
        </w:tc>
      </w:tr>
      <w:tr w:rsidR="00A20972" w:rsidTr="001A28E8">
        <w:trPr>
          <w:trHeight w:val="10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1A28E8" w:rsidRDefault="001B5FD6" w:rsidP="00732399">
            <w:pPr>
              <w:ind w:left="139" w:right="116"/>
            </w:pP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056567" w:rsidRPr="001A28E8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2F3A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28E8">
        <w:trPr>
          <w:trHeight w:val="10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1A28E8" w:rsidRDefault="001B5FD6" w:rsidP="00732399">
            <w:pPr>
              <w:ind w:left="106" w:right="11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056567" w:rsidRPr="001A28E8">
              <w:rPr>
                <w:rFonts w:ascii="Times New Roman" w:eastAsia="Times New Roman" w:hAnsi="Times New Roman" w:cs="Times New Roman"/>
                <w:sz w:val="28"/>
              </w:rPr>
              <w:t>розпоряд</w:t>
            </w:r>
            <w:r w:rsidRPr="001A28E8">
              <w:rPr>
                <w:rFonts w:ascii="Times New Roman" w:eastAsia="Times New Roman" w:hAnsi="Times New Roman" w:cs="Times New Roman"/>
                <w:sz w:val="28"/>
              </w:rPr>
              <w:t>ником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E164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 (0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28E8">
        <w:trPr>
          <w:trHeight w:val="10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Default="001B5FD6" w:rsidP="00732399">
            <w:pPr>
              <w:ind w:left="106" w:right="116"/>
            </w:pP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обмеження в </w:t>
            </w:r>
            <w:r w:rsidR="00056567" w:rsidRPr="001A28E8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 у частині необхідності запобігання їх розголошенню ОДС?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20FB6" w:rsidP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412E6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28E8">
        <w:trPr>
          <w:trHeight w:val="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BC6F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A20972" w:rsidTr="001A28E8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4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Відповідність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28E8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094098" w:rsidRDefault="00094098" w:rsidP="00732399">
            <w:pPr>
              <w:ind w:left="106" w:right="116"/>
              <w:rPr>
                <w:rFonts w:ascii="Times New Roman" w:eastAsia="Times New Roman" w:hAnsi="Times New Roman" w:cs="Times New Roman"/>
                <w:sz w:val="28"/>
              </w:rPr>
            </w:pPr>
            <w:r w:rsidRPr="00094098">
              <w:rPr>
                <w:rFonts w:ascii="Times New Roman" w:eastAsia="Times New Roman" w:hAnsi="Times New Roman" w:cs="Times New Roman"/>
                <w:sz w:val="28"/>
              </w:rPr>
              <w:t>Чи задоволені ОДС актуальністю (частотою оновлення) та повнотою отриманих від розпорядника адміністративних даних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BC6F8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Ні (0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2F3A76" w:rsidRPr="00094098" w:rsidRDefault="00094098" w:rsidP="00094098">
            <w:pPr>
              <w:ind w:left="131"/>
              <w:rPr>
                <w:i/>
              </w:rPr>
            </w:pPr>
            <w:r w:rsidRPr="0009409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Адміністративні дані є неповними і потребують додаткового опрацювання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.</w:t>
            </w:r>
          </w:p>
        </w:tc>
      </w:tr>
      <w:tr w:rsidR="00A20972" w:rsidTr="001A28E8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BC6F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</w:tc>
      </w:tr>
      <w:tr w:rsidR="00A20972" w:rsidTr="001A28E8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4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Точність та надійність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D76184" w:rsidTr="001A28E8">
        <w:trPr>
          <w:trHeight w:val="1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C6F8A" w:rsidRDefault="00401DC2">
            <w:pPr>
              <w:spacing w:after="51" w:line="240" w:lineRule="auto"/>
              <w:jc w:val="center"/>
            </w:pPr>
            <w:r w:rsidRPr="00BC6F8A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BC6F8A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BC6F8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BC6F8A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A20972" w:rsidRPr="00D76184" w:rsidRDefault="00A20972" w:rsidP="00851655">
            <w:pPr>
              <w:ind w:left="106"/>
              <w:rPr>
                <w:i/>
              </w:rPr>
            </w:pPr>
          </w:p>
        </w:tc>
      </w:tr>
      <w:tr w:rsidR="00A20972" w:rsidTr="001A28E8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01DC2" w:rsidP="00401D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28E8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EA" w:rsidRPr="000612EE" w:rsidRDefault="006000EA" w:rsidP="005D754F">
            <w:pPr>
              <w:pStyle w:val="Default"/>
              <w:ind w:left="144"/>
              <w:jc w:val="center"/>
              <w:rPr>
                <w:rFonts w:eastAsia="Times New Roman"/>
                <w:color w:val="auto"/>
                <w:sz w:val="28"/>
                <w:szCs w:val="22"/>
                <w:lang w:eastAsia="uk-UA"/>
              </w:rPr>
            </w:pPr>
            <w:r w:rsidRPr="000612EE">
              <w:rPr>
                <w:rFonts w:eastAsia="Times New Roman"/>
                <w:color w:val="auto"/>
                <w:sz w:val="28"/>
                <w:szCs w:val="22"/>
                <w:lang w:eastAsia="uk-UA"/>
              </w:rPr>
              <w:t>Так (0)</w:t>
            </w:r>
          </w:p>
          <w:p w:rsidR="003665D6" w:rsidRPr="005D754F" w:rsidRDefault="009B3B3C" w:rsidP="005D754F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</w:pPr>
            <w:r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Присутні </w:t>
            </w:r>
            <w:r w:rsidR="00735058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похибки </w:t>
            </w:r>
            <w:r w:rsidR="0095768B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ідентифікації </w:t>
            </w:r>
            <w:r w:rsidR="00AD1471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одиниць. </w:t>
            </w:r>
          </w:p>
          <w:p w:rsidR="00A20972" w:rsidRPr="001A28E8" w:rsidRDefault="00AD1471" w:rsidP="001A28E8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i/>
                <w:color w:val="auto"/>
                <w:sz w:val="28"/>
                <w:lang w:val="en-US"/>
              </w:rPr>
            </w:pPr>
            <w:r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Для проведення ДСС необхідні дані про одержувачів бюджетних коштів</w:t>
            </w:r>
            <w:r w:rsidR="000D3F4E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, </w:t>
            </w:r>
            <w:r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які є кінцевими виконавцями робіт, що освоїли кошти за програмами з охорони навколишнього природного середовища</w:t>
            </w:r>
            <w:r w:rsidR="005B46BE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. </w:t>
            </w:r>
            <w:r w:rsidR="003665D6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У зв’язку з відсутністю </w:t>
            </w:r>
            <w:r w:rsidR="003665D6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зазначеної інформації </w:t>
            </w:r>
            <w:r w:rsidR="000D3F4E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у повному обсязі </w:t>
            </w:r>
            <w:r w:rsidR="00056567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розпорядники адміністративних</w:t>
            </w:r>
            <w:r w:rsidR="003665D6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</w:t>
            </w:r>
            <w:r w:rsidR="000D3F4E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даних </w:t>
            </w:r>
            <w:r w:rsidR="003665D6" w:rsidRP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надають</w:t>
            </w:r>
            <w:r w:rsidR="003665D6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</w:t>
            </w:r>
            <w:r w:rsidR="000D3F4E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інформацію як про одержувачів, так і </w:t>
            </w:r>
            <w:r w:rsidR="003665D6" w:rsidRPr="005D754F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про розпорядників бюджетних коштів за програмами з охорони навколишнього природного середовища</w:t>
            </w:r>
            <w:r w:rsidR="001A28E8">
              <w:rPr>
                <w:rFonts w:ascii="Times New Roman" w:eastAsia="Times New Roman" w:hAnsi="Times New Roman" w:cs="Times New Roman"/>
                <w:i/>
                <w:color w:val="auto"/>
                <w:sz w:val="28"/>
                <w:lang w:val="en-US"/>
              </w:rPr>
              <w:t>.</w:t>
            </w:r>
          </w:p>
        </w:tc>
      </w:tr>
      <w:tr w:rsidR="00A20972" w:rsidTr="001A28E8">
        <w:trPr>
          <w:trHeight w:val="15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9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застосовуються методи обробки до адміністративних даних для здійснення агрегування/</w:t>
            </w:r>
            <w:r w:rsidR="001A28E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компіляції з іншими даними статистичного спостереження?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0612EE" w:rsidRDefault="00056567" w:rsidP="000612EE">
            <w:pPr>
              <w:pStyle w:val="Default"/>
              <w:ind w:left="144"/>
              <w:jc w:val="center"/>
              <w:rPr>
                <w:rFonts w:eastAsia="Times New Roman"/>
                <w:color w:val="auto"/>
                <w:sz w:val="28"/>
                <w:szCs w:val="22"/>
                <w:lang w:eastAsia="uk-UA"/>
              </w:rPr>
            </w:pPr>
            <w:r>
              <w:rPr>
                <w:rFonts w:eastAsia="Times New Roman"/>
                <w:color w:val="auto"/>
                <w:sz w:val="28"/>
                <w:szCs w:val="22"/>
                <w:lang w:eastAsia="uk-UA"/>
              </w:rPr>
              <w:t>Ні</w:t>
            </w:r>
            <w:r w:rsidR="006A609F" w:rsidRPr="000612EE">
              <w:rPr>
                <w:rFonts w:eastAsia="Times New Roman"/>
                <w:color w:val="auto"/>
                <w:sz w:val="28"/>
                <w:szCs w:val="22"/>
                <w:lang w:eastAsia="uk-UA"/>
              </w:rPr>
              <w:t xml:space="preserve"> (</w:t>
            </w:r>
            <w:r>
              <w:rPr>
                <w:rFonts w:eastAsia="Times New Roman"/>
                <w:color w:val="auto"/>
                <w:sz w:val="28"/>
                <w:szCs w:val="22"/>
                <w:lang w:eastAsia="uk-UA"/>
              </w:rPr>
              <w:t>1</w:t>
            </w:r>
            <w:r w:rsidR="001B5FD6" w:rsidRPr="000612EE">
              <w:rPr>
                <w:rFonts w:eastAsia="Times New Roman"/>
                <w:color w:val="auto"/>
                <w:sz w:val="28"/>
                <w:szCs w:val="22"/>
                <w:lang w:eastAsia="uk-UA"/>
              </w:rPr>
              <w:t>)</w:t>
            </w:r>
          </w:p>
          <w:p w:rsidR="002F3A76" w:rsidRPr="00056567" w:rsidRDefault="002F3A76" w:rsidP="000612EE">
            <w:pPr>
              <w:pStyle w:val="Default"/>
              <w:ind w:left="144"/>
              <w:rPr>
                <w:rFonts w:eastAsia="Times New Roman"/>
                <w:i/>
                <w:strike/>
                <w:color w:val="auto"/>
                <w:sz w:val="28"/>
                <w:szCs w:val="22"/>
                <w:lang w:eastAsia="uk-UA"/>
              </w:rPr>
            </w:pPr>
          </w:p>
        </w:tc>
      </w:tr>
      <w:tr w:rsidR="00A20972" w:rsidTr="001A28E8">
        <w:trPr>
          <w:trHeight w:val="6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Default="00056567">
            <w:pPr>
              <w:jc w:val="center"/>
            </w:pPr>
            <w:r w:rsidRPr="001A28E8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1A28E8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28E8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7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28E8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 w:rsidRPr="001A28E8">
              <w:rPr>
                <w:rFonts w:ascii="Times New Roman" w:eastAsia="Times New Roman" w:hAnsi="Times New Roman" w:cs="Times New Roman"/>
                <w:sz w:val="28"/>
              </w:rPr>
              <w:t xml:space="preserve">Чи інформує завчасно </w:t>
            </w:r>
            <w:r w:rsidR="00056567" w:rsidRPr="001A28E8">
              <w:rPr>
                <w:rFonts w:ascii="Times New Roman" w:eastAsia="Times New Roman" w:hAnsi="Times New Roman" w:cs="Times New Roman"/>
                <w:sz w:val="28"/>
              </w:rPr>
              <w:t>розпоряд</w:t>
            </w:r>
            <w:r w:rsidRPr="001A28E8">
              <w:rPr>
                <w:rFonts w:ascii="Times New Roman" w:eastAsia="Times New Roman" w:hAnsi="Times New Roman" w:cs="Times New Roman"/>
                <w:sz w:val="28"/>
              </w:rPr>
              <w:t>ник адміністративних даних щодо їх перегляду?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7086B" w:rsidP="00906071">
            <w:pPr>
              <w:spacing w:after="47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Ні (0</w:t>
            </w:r>
            <w:r w:rsidR="00401DC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D754D3" w:rsidRPr="00056567" w:rsidRDefault="00D754D3" w:rsidP="009A1EFF">
            <w:pPr>
              <w:spacing w:after="47" w:line="240" w:lineRule="auto"/>
              <w:ind w:left="131"/>
              <w:rPr>
                <w:strike/>
              </w:rPr>
            </w:pPr>
          </w:p>
        </w:tc>
      </w:tr>
      <w:tr w:rsidR="00A20972" w:rsidTr="001A28E8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708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1A28E8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Послідовність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зіставність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28E8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7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послідовними у часі?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28E8">
        <w:trPr>
          <w:trHeight w:val="1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7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зіставність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56222E" w:rsidRPr="00BB3BC3" w:rsidRDefault="0056222E" w:rsidP="0056222E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дані, які надавалися </w:t>
            </w:r>
            <w:r w:rsidR="00D674C3" w:rsidRPr="00D674C3">
              <w:rPr>
                <w:rFonts w:ascii="Times New Roman" w:eastAsia="Times New Roman" w:hAnsi="Times New Roman" w:cs="Times New Roman"/>
                <w:i/>
                <w:sz w:val="28"/>
              </w:rPr>
              <w:t>обласни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ми</w:t>
            </w:r>
            <w:r w:rsidR="00D674C3" w:rsidRPr="00D674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державни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ми адміністраціями</w:t>
            </w:r>
            <w:r w:rsidR="00D674C3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відповідно до угод, укладен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их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у 20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19‒2020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ро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ках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є повністю зіставними у часі. </w:t>
            </w:r>
          </w:p>
          <w:p w:rsidR="0056222E" w:rsidRPr="00DA19C3" w:rsidRDefault="0056222E" w:rsidP="00D674C3">
            <w:pPr>
              <w:ind w:left="106" w:right="10"/>
              <w:rPr>
                <w:i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Довжина динамічного ряду адміністративних даних становить 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рок</w:t>
            </w:r>
            <w:r w:rsidR="00D674C3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</w:tr>
      <w:tr w:rsidR="00A20972" w:rsidTr="001A28E8">
        <w:trPr>
          <w:trHeight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4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A20972" w:rsidTr="001A28E8">
        <w:trPr>
          <w:trHeight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зрозумілість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28E8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37" w:right="11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Ні (0) </w:t>
            </w:r>
          </w:p>
        </w:tc>
      </w:tr>
      <w:tr w:rsidR="00A20972" w:rsidTr="001A28E8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732399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05656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0 </w:t>
            </w:r>
          </w:p>
        </w:tc>
      </w:tr>
      <w:tr w:rsidR="00A20972" w:rsidRPr="000612EE" w:rsidTr="001A28E8">
        <w:trPr>
          <w:trHeight w:val="19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0612EE" w:rsidRDefault="001B5FD6" w:rsidP="000612EE">
            <w:pPr>
              <w:rPr>
                <w:i/>
              </w:rPr>
            </w:pPr>
            <w:r w:rsidRPr="000612E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0612EE" w:rsidRDefault="001B5FD6" w:rsidP="00732399">
            <w:pPr>
              <w:ind w:left="106" w:right="116"/>
              <w:rPr>
                <w:i/>
              </w:rPr>
            </w:pPr>
            <w:r w:rsidRPr="000612EE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0612EE" w:rsidRDefault="00056567" w:rsidP="00056567">
            <w:pPr>
              <w:pStyle w:val="Default"/>
              <w:ind w:left="57"/>
              <w:jc w:val="center"/>
              <w:rPr>
                <w:rFonts w:eastAsia="Times New Roman"/>
                <w:b/>
                <w:color w:val="auto"/>
                <w:sz w:val="28"/>
                <w:szCs w:val="22"/>
                <w:lang w:eastAsia="uk-UA"/>
              </w:rPr>
            </w:pPr>
            <w:r>
              <w:rPr>
                <w:rFonts w:eastAsia="Times New Roman"/>
                <w:b/>
                <w:color w:val="auto"/>
                <w:sz w:val="28"/>
                <w:szCs w:val="22"/>
                <w:lang w:eastAsia="uk-UA"/>
              </w:rPr>
              <w:t>7</w:t>
            </w:r>
          </w:p>
          <w:p w:rsidR="006A609F" w:rsidRPr="000612EE" w:rsidRDefault="001B5FD6" w:rsidP="00056567">
            <w:pPr>
              <w:pStyle w:val="Default"/>
              <w:ind w:left="57"/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</w:pP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Загальна оцінка як</w:t>
            </w:r>
            <w:r w:rsidR="00096F0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ості адміністративних даних </w:t>
            </w:r>
            <w:r w:rsidR="00E5246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щодо </w:t>
            </w:r>
            <w:r w:rsidR="00BC6F8A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одержувачів бюджетних коштів</w:t>
            </w:r>
            <w:r w:rsidR="007949E1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(</w:t>
            </w:r>
            <w:r w:rsidR="00BC6F8A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які є кінцевими виконавцями робіт</w:t>
            </w:r>
            <w:r w:rsidR="007949E1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, що</w:t>
            </w:r>
            <w:r w:rsidR="00BC6F8A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освоїли кошти за програмами з охорони навколишнього природного середовища</w:t>
            </w:r>
            <w:r w:rsidR="007949E1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)</w:t>
            </w:r>
            <w:r w:rsidR="00817FA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,</w:t>
            </w:r>
            <w:r w:rsidR="00B168F6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</w:t>
            </w:r>
            <w:r w:rsidR="004F27C2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які</w:t>
            </w:r>
            <w:r w:rsidR="00B168F6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використовуються для формування сукупності респондентів</w:t>
            </w:r>
            <w:r w:rsidR="00817FA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ДСС </w:t>
            </w:r>
            <w:r w:rsidR="008367A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“</w:t>
            </w:r>
            <w:r w:rsidR="00817FA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Витрати на охорону навколишнього природного середовища</w:t>
            </w:r>
            <w:r w:rsidR="008367A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”</w:t>
            </w:r>
            <w:r w:rsidR="007949E1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та</w:t>
            </w:r>
            <w:r w:rsidR="00817FA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отримуються відповідно до угоди про </w:t>
            </w:r>
            <w:proofErr w:type="spellStart"/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взаємообмін</w:t>
            </w:r>
            <w:proofErr w:type="spellEnd"/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інформаційними ресурсами між </w:t>
            </w:r>
            <w:proofErr w:type="spellStart"/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Держстатом</w:t>
            </w:r>
            <w:proofErr w:type="spellEnd"/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та</w:t>
            </w:r>
            <w:r w:rsidR="002C70BA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</w:t>
            </w:r>
            <w:r w:rsidR="007949E1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обласними державними адміністраціями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, для проведення ДСС </w:t>
            </w:r>
            <w:r w:rsidR="00E5246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3.01.00.0</w:t>
            </w:r>
            <w:r w:rsidR="00783E34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3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</w:t>
            </w:r>
            <w:r w:rsidR="00EB52BE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“</w:t>
            </w:r>
            <w:r w:rsidR="00783E34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В</w:t>
            </w:r>
            <w:r w:rsidR="00E5246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итрат</w:t>
            </w:r>
            <w:r w:rsidR="00783E34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и</w:t>
            </w:r>
            <w:r w:rsidR="00E5246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на охорону навколишнього природного середовища</w:t>
            </w:r>
            <w:r w:rsidR="008367A8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”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– </w:t>
            </w:r>
            <w:r w:rsidR="005D754F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посередня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. </w:t>
            </w:r>
          </w:p>
          <w:p w:rsidR="006A609F" w:rsidRPr="000612EE" w:rsidRDefault="006A609F" w:rsidP="00056567">
            <w:pPr>
              <w:pStyle w:val="Default"/>
              <w:ind w:left="57"/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</w:pP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Адміністративні дані </w:t>
            </w:r>
            <w:r w:rsidR="00321056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не 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можуть уважатися </w:t>
            </w:r>
            <w:r w:rsidR="005D754F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релевантними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 для використання їх для статистичних цілей</w:t>
            </w:r>
            <w:r w:rsidR="004C1843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оскільки не повністю надають інформацію</w:t>
            </w:r>
            <w:r w:rsidR="004C1843">
              <w:t xml:space="preserve"> </w:t>
            </w:r>
            <w:r w:rsidR="004C1843" w:rsidRPr="004C1843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про одержувачів бюджетних коштів, які є кінцевими виконавцями робіт, що освоїли кошти за програмами з охорони навколишнього природного середовища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.</w:t>
            </w:r>
            <w:r w:rsidR="00281DE3" w:rsidRPr="00B905F2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 Зокрема, у наданих обласними державними адміністраціями переліках підприємств переважну частину становлять територіальні громади, які є розпорядниками коштів, а не кінцевими виконавцями робіт, що освоїли кошти за програмами з охорони навколишнього природного середовища.</w:t>
            </w:r>
          </w:p>
          <w:p w:rsidR="00A20972" w:rsidRPr="000612EE" w:rsidRDefault="006A609F" w:rsidP="00056567">
            <w:pPr>
              <w:pStyle w:val="Default"/>
              <w:ind w:left="57"/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</w:pP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Результати цього оцінювання міститиме Стандартний звіт з якості ДСС, який використовує адміністративні дані, у частині позиції S.11 </w:t>
            </w:r>
            <w:r w:rsidR="006D4C0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“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 xml:space="preserve">Управління </w:t>
            </w:r>
            <w:bookmarkStart w:id="0" w:name="_GoBack"/>
            <w:bookmarkEnd w:id="0"/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якістю</w:t>
            </w:r>
            <w:r w:rsidR="006D4C0D"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”</w:t>
            </w:r>
            <w:r w:rsidRPr="000612EE">
              <w:rPr>
                <w:rFonts w:eastAsia="Times New Roman"/>
                <w:i/>
                <w:color w:val="auto"/>
                <w:sz w:val="28"/>
                <w:szCs w:val="22"/>
                <w:lang w:eastAsia="uk-UA"/>
              </w:rPr>
              <w:t>європейського стандарту – Єдиної інтегрованої структури статистичних метаданих (SIMS).</w:t>
            </w:r>
          </w:p>
        </w:tc>
      </w:tr>
    </w:tbl>
    <w:p w:rsidR="00A20972" w:rsidRPr="000612EE" w:rsidRDefault="00A20972" w:rsidP="000612EE">
      <w:pPr>
        <w:spacing w:line="240" w:lineRule="auto"/>
        <w:ind w:right="7387"/>
        <w:rPr>
          <w:i/>
        </w:rPr>
      </w:pPr>
    </w:p>
    <w:sectPr w:rsidR="00A20972" w:rsidRPr="000612EE" w:rsidSect="001A28E8">
      <w:headerReference w:type="default" r:id="rId7"/>
      <w:pgSz w:w="11909" w:h="16838"/>
      <w:pgMar w:top="568" w:right="427" w:bottom="278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4C" w:rsidRDefault="00315D4C" w:rsidP="001A6C0A">
      <w:pPr>
        <w:spacing w:line="240" w:lineRule="auto"/>
      </w:pPr>
      <w:r>
        <w:separator/>
      </w:r>
    </w:p>
  </w:endnote>
  <w:endnote w:type="continuationSeparator" w:id="0">
    <w:p w:rsidR="00315D4C" w:rsidRDefault="00315D4C" w:rsidP="001A6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4C" w:rsidRDefault="00315D4C" w:rsidP="001A6C0A">
      <w:pPr>
        <w:spacing w:line="240" w:lineRule="auto"/>
      </w:pPr>
      <w:r>
        <w:separator/>
      </w:r>
    </w:p>
  </w:footnote>
  <w:footnote w:type="continuationSeparator" w:id="0">
    <w:p w:rsidR="00315D4C" w:rsidRDefault="00315D4C" w:rsidP="001A6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41361"/>
      <w:docPartObj>
        <w:docPartGallery w:val="Page Numbers (Top of Page)"/>
        <w:docPartUnique/>
      </w:docPartObj>
    </w:sdtPr>
    <w:sdtEndPr/>
    <w:sdtContent>
      <w:p w:rsidR="001A6C0A" w:rsidRDefault="001A6C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0D">
          <w:rPr>
            <w:noProof/>
          </w:rPr>
          <w:t>4</w:t>
        </w:r>
        <w:r>
          <w:fldChar w:fldCharType="end"/>
        </w:r>
      </w:p>
    </w:sdtContent>
  </w:sdt>
  <w:p w:rsidR="001A6C0A" w:rsidRDefault="001A6C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2"/>
    <w:rsid w:val="00005C51"/>
    <w:rsid w:val="00056567"/>
    <w:rsid w:val="000612EE"/>
    <w:rsid w:val="000675B2"/>
    <w:rsid w:val="00094098"/>
    <w:rsid w:val="00096F08"/>
    <w:rsid w:val="000C3B5F"/>
    <w:rsid w:val="000D3F4E"/>
    <w:rsid w:val="000D6D53"/>
    <w:rsid w:val="00122EE4"/>
    <w:rsid w:val="0017086B"/>
    <w:rsid w:val="0018433C"/>
    <w:rsid w:val="001A28E8"/>
    <w:rsid w:val="001A6C0A"/>
    <w:rsid w:val="001B5FD6"/>
    <w:rsid w:val="001D5BCB"/>
    <w:rsid w:val="001E1647"/>
    <w:rsid w:val="0026154E"/>
    <w:rsid w:val="00281DE3"/>
    <w:rsid w:val="002C70BA"/>
    <w:rsid w:val="002E2B4F"/>
    <w:rsid w:val="002F3A76"/>
    <w:rsid w:val="00315D4C"/>
    <w:rsid w:val="00321056"/>
    <w:rsid w:val="003665D6"/>
    <w:rsid w:val="003763E4"/>
    <w:rsid w:val="003B0174"/>
    <w:rsid w:val="0040159F"/>
    <w:rsid w:val="00401DC2"/>
    <w:rsid w:val="00412E66"/>
    <w:rsid w:val="00424DB4"/>
    <w:rsid w:val="004C1843"/>
    <w:rsid w:val="004E6676"/>
    <w:rsid w:val="004F27C2"/>
    <w:rsid w:val="005220DE"/>
    <w:rsid w:val="00553A6B"/>
    <w:rsid w:val="0056222E"/>
    <w:rsid w:val="00566D24"/>
    <w:rsid w:val="00567C00"/>
    <w:rsid w:val="005B46BE"/>
    <w:rsid w:val="005D73DE"/>
    <w:rsid w:val="005D754F"/>
    <w:rsid w:val="006000EA"/>
    <w:rsid w:val="006730B4"/>
    <w:rsid w:val="0067723F"/>
    <w:rsid w:val="006A609F"/>
    <w:rsid w:val="006D4C0D"/>
    <w:rsid w:val="00732399"/>
    <w:rsid w:val="00735058"/>
    <w:rsid w:val="00783E34"/>
    <w:rsid w:val="007949E1"/>
    <w:rsid w:val="00794B32"/>
    <w:rsid w:val="007D5211"/>
    <w:rsid w:val="007F09BA"/>
    <w:rsid w:val="00817FAD"/>
    <w:rsid w:val="008367A8"/>
    <w:rsid w:val="00851655"/>
    <w:rsid w:val="00874AB5"/>
    <w:rsid w:val="008C0E1B"/>
    <w:rsid w:val="00906071"/>
    <w:rsid w:val="0095768B"/>
    <w:rsid w:val="00963C98"/>
    <w:rsid w:val="009A1EFF"/>
    <w:rsid w:val="009B3B3C"/>
    <w:rsid w:val="009E4B9F"/>
    <w:rsid w:val="009E6C57"/>
    <w:rsid w:val="00A20972"/>
    <w:rsid w:val="00A74755"/>
    <w:rsid w:val="00A85192"/>
    <w:rsid w:val="00AB05DC"/>
    <w:rsid w:val="00AD1471"/>
    <w:rsid w:val="00B168F6"/>
    <w:rsid w:val="00B905F2"/>
    <w:rsid w:val="00BC6F8A"/>
    <w:rsid w:val="00BE10AC"/>
    <w:rsid w:val="00BF10F3"/>
    <w:rsid w:val="00C83888"/>
    <w:rsid w:val="00CA6D60"/>
    <w:rsid w:val="00D20FB6"/>
    <w:rsid w:val="00D674C3"/>
    <w:rsid w:val="00D71A03"/>
    <w:rsid w:val="00D754D3"/>
    <w:rsid w:val="00D76184"/>
    <w:rsid w:val="00DA19C3"/>
    <w:rsid w:val="00E52468"/>
    <w:rsid w:val="00E8691B"/>
    <w:rsid w:val="00EB52BE"/>
    <w:rsid w:val="00ED2D58"/>
    <w:rsid w:val="00F53959"/>
    <w:rsid w:val="00F552EE"/>
    <w:rsid w:val="00F646F0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00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A6C0A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A6C0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A6C0A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A6C0A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905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905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31F5-4949-4FEC-9AE9-3C36409C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2807</Words>
  <Characters>1601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new</cp:lastModifiedBy>
  <cp:revision>9</cp:revision>
  <dcterms:created xsi:type="dcterms:W3CDTF">2023-12-15T12:15:00Z</dcterms:created>
  <dcterms:modified xsi:type="dcterms:W3CDTF">2023-12-21T14:17:00Z</dcterms:modified>
</cp:coreProperties>
</file>