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right"/>
        <w:rPr>
          <w:bCs/>
          <w:color w:val="000000"/>
        </w:rPr>
      </w:pPr>
      <w:bookmarkStart w:id="0" w:name="_GoBack"/>
      <w:bookmarkEnd w:id="0"/>
    </w:p>
    <w:p>
      <w:pPr>
        <w:autoSpaceDE w:val="0"/>
        <w:autoSpaceDN w:val="0"/>
        <w:adjustRightInd w:val="0"/>
        <w:jc w:val="center"/>
        <w:rPr>
          <w:color w:val="000000"/>
        </w:rPr>
      </w:pPr>
      <w:r>
        <w:rPr>
          <w:bCs/>
          <w:color w:val="000000"/>
        </w:rPr>
        <w:t>Державна служба статистики України</w:t>
      </w:r>
    </w:p>
    <w:p>
      <w:pPr>
        <w:autoSpaceDE w:val="0"/>
        <w:autoSpaceDN w:val="0"/>
        <w:adjustRightInd w:val="0"/>
        <w:rPr>
          <w:color w:val="000000"/>
        </w:rPr>
      </w:pPr>
    </w:p>
    <w:p>
      <w:pPr>
        <w:autoSpaceDE w:val="0"/>
        <w:autoSpaceDN w:val="0"/>
        <w:adjustRightInd w:val="0"/>
        <w:rPr>
          <w:color w:val="000000"/>
        </w:rPr>
      </w:pPr>
    </w:p>
    <w:tbl>
      <w:tblPr>
        <w:tblStyle w:val="3"/>
        <w:tblW w:w="4008" w:type="dxa"/>
        <w:tblInd w:w="5920" w:type="dxa"/>
        <w:tblLayout w:type="fixed"/>
        <w:tblCellMar>
          <w:top w:w="0" w:type="dxa"/>
          <w:left w:w="108" w:type="dxa"/>
          <w:bottom w:w="0" w:type="dxa"/>
          <w:right w:w="108" w:type="dxa"/>
        </w:tblCellMar>
      </w:tblPr>
      <w:tblGrid>
        <w:gridCol w:w="4008"/>
      </w:tblGrid>
      <w:tr>
        <w:tblPrEx>
          <w:tblCellMar>
            <w:top w:w="0" w:type="dxa"/>
            <w:left w:w="108" w:type="dxa"/>
            <w:bottom w:w="0" w:type="dxa"/>
            <w:right w:w="108" w:type="dxa"/>
          </w:tblCellMar>
        </w:tblPrEx>
        <w:trPr>
          <w:trHeight w:val="610" w:hRule="atLeast"/>
        </w:trPr>
        <w:tc>
          <w:tcPr>
            <w:tcW w:w="4003" w:type="dxa"/>
            <w:tcBorders>
              <w:top w:val="nil"/>
              <w:left w:val="nil"/>
              <w:bottom w:val="nil"/>
              <w:right w:val="nil"/>
            </w:tcBorders>
          </w:tcPr>
          <w:p>
            <w:pPr>
              <w:autoSpaceDE w:val="0"/>
              <w:autoSpaceDN w:val="0"/>
              <w:adjustRightInd w:val="0"/>
              <w:spacing w:line="360" w:lineRule="auto"/>
              <w:rPr>
                <w:color w:val="000000"/>
              </w:rPr>
            </w:pPr>
            <w:r>
              <w:rPr>
                <w:color w:val="000000"/>
              </w:rPr>
              <w:t>СХВАЛЕНО</w:t>
            </w:r>
          </w:p>
          <w:p>
            <w:pPr>
              <w:autoSpaceDE w:val="0"/>
              <w:autoSpaceDN w:val="0"/>
              <w:adjustRightInd w:val="0"/>
              <w:rPr>
                <w:color w:val="000000"/>
              </w:rPr>
            </w:pPr>
            <w:r>
              <w:rPr>
                <w:color w:val="000000"/>
              </w:rPr>
              <w:t>Рішення Комісії з питань</w:t>
            </w:r>
          </w:p>
          <w:p>
            <w:pPr>
              <w:autoSpaceDE w:val="0"/>
              <w:autoSpaceDN w:val="0"/>
              <w:adjustRightInd w:val="0"/>
              <w:rPr>
                <w:color w:val="000000"/>
              </w:rPr>
            </w:pPr>
            <w:r>
              <w:rPr>
                <w:color w:val="000000"/>
              </w:rPr>
              <w:t>удосконалення методології</w:t>
            </w:r>
          </w:p>
          <w:p>
            <w:pPr>
              <w:autoSpaceDE w:val="0"/>
              <w:autoSpaceDN w:val="0"/>
              <w:adjustRightInd w:val="0"/>
              <w:rPr>
                <w:color w:val="000000"/>
              </w:rPr>
            </w:pPr>
            <w:r>
              <w:rPr>
                <w:color w:val="000000"/>
              </w:rPr>
              <w:t>та звітної документації</w:t>
            </w:r>
          </w:p>
          <w:p>
            <w:pPr>
              <w:autoSpaceDE w:val="0"/>
              <w:autoSpaceDN w:val="0"/>
              <w:adjustRightInd w:val="0"/>
              <w:rPr>
                <w:color w:val="000000"/>
              </w:rPr>
            </w:pPr>
            <w:r>
              <w:rPr>
                <w:color w:val="000000"/>
              </w:rPr>
              <w:t xml:space="preserve">(протокол від 29.12.2023          № </w:t>
            </w:r>
            <w:r>
              <w:rPr>
                <w:rFonts w:hint="eastAsia"/>
                <w:color w:val="000000"/>
              </w:rPr>
              <w:t>КПУМ</w:t>
            </w:r>
            <w:r>
              <w:rPr>
                <w:color w:val="000000"/>
              </w:rPr>
              <w:t>/32-23)</w:t>
            </w:r>
          </w:p>
        </w:tc>
      </w:tr>
    </w:tbl>
    <w:p/>
    <w:p/>
    <w:p/>
    <w:p>
      <w:pPr>
        <w:autoSpaceDE w:val="0"/>
        <w:autoSpaceDN w:val="0"/>
        <w:adjustRightInd w:val="0"/>
        <w:rPr>
          <w:color w:val="000000"/>
        </w:rPr>
      </w:pPr>
    </w:p>
    <w:p>
      <w:pPr>
        <w:autoSpaceDE w:val="0"/>
        <w:autoSpaceDN w:val="0"/>
        <w:adjustRightInd w:val="0"/>
        <w:rPr>
          <w:color w:val="000000"/>
        </w:rPr>
      </w:pPr>
    </w:p>
    <w:p>
      <w:pPr>
        <w:autoSpaceDE w:val="0"/>
        <w:autoSpaceDN w:val="0"/>
        <w:adjustRightInd w:val="0"/>
        <w:rPr>
          <w:color w:val="000000"/>
        </w:rPr>
      </w:pPr>
    </w:p>
    <w:p>
      <w:pPr>
        <w:autoSpaceDE w:val="0"/>
        <w:autoSpaceDN w:val="0"/>
        <w:adjustRightInd w:val="0"/>
        <w:jc w:val="center"/>
        <w:rPr>
          <w:b/>
          <w:bCs/>
          <w:caps/>
        </w:rPr>
      </w:pPr>
      <w:r>
        <w:rPr>
          <w:b/>
          <w:bCs/>
        </w:rPr>
        <w:t xml:space="preserve">СТАНДАРТНИЙ ЗВІТ З ЯКОСТІ </w:t>
      </w:r>
    </w:p>
    <w:p>
      <w:pPr>
        <w:autoSpaceDE w:val="0"/>
        <w:autoSpaceDN w:val="0"/>
        <w:adjustRightInd w:val="0"/>
        <w:jc w:val="center"/>
        <w:rPr>
          <w:b/>
          <w:bCs/>
          <w:caps/>
        </w:rPr>
      </w:pPr>
      <w:r>
        <w:rPr>
          <w:b/>
          <w:color w:val="000000"/>
        </w:rPr>
        <w:t>ДЕРЖАВНОГО СТАТИСТИЧНОГО СПОСТЕРЕЖЕННЯ</w:t>
      </w:r>
    </w:p>
    <w:p>
      <w:pPr>
        <w:autoSpaceDE w:val="0"/>
        <w:autoSpaceDN w:val="0"/>
        <w:adjustRightInd w:val="0"/>
        <w:jc w:val="center"/>
        <w:rPr>
          <w:b/>
          <w:color w:val="000000"/>
          <w:spacing w:val="-1"/>
        </w:rPr>
      </w:pPr>
      <w:r>
        <w:rPr>
          <w:b/>
          <w:bCs/>
          <w:caps/>
        </w:rPr>
        <w:t xml:space="preserve">"ОПЛАТА НАСЕЛЕННЯМ ЖИТЛОВО-КОМУНАЛЬНИХ ПОСЛУГ" </w:t>
      </w:r>
    </w:p>
    <w:p>
      <w:pPr>
        <w:autoSpaceDE w:val="0"/>
        <w:autoSpaceDN w:val="0"/>
        <w:adjustRightInd w:val="0"/>
        <w:spacing w:before="120"/>
        <w:jc w:val="center"/>
        <w:rPr>
          <w:b/>
          <w:bCs/>
          <w:caps/>
          <w:lang w:val="en-US"/>
        </w:rPr>
      </w:pPr>
      <w:r>
        <w:rPr>
          <w:b/>
          <w:color w:val="000000"/>
          <w:spacing w:val="-1"/>
          <w:lang w:val="en-US"/>
        </w:rPr>
        <w:t>1.</w:t>
      </w:r>
      <w:r>
        <w:rPr>
          <w:b/>
          <w:color w:val="000000"/>
          <w:spacing w:val="-1"/>
        </w:rPr>
        <w:t>0</w:t>
      </w:r>
      <w:r>
        <w:rPr>
          <w:b/>
          <w:color w:val="000000"/>
          <w:spacing w:val="-1"/>
          <w:lang w:val="en-US"/>
        </w:rPr>
        <w:t>7</w:t>
      </w:r>
      <w:r>
        <w:rPr>
          <w:b/>
          <w:color w:val="000000"/>
          <w:spacing w:val="-1"/>
        </w:rPr>
        <w:t>.0</w:t>
      </w:r>
      <w:r>
        <w:rPr>
          <w:b/>
          <w:color w:val="000000"/>
          <w:spacing w:val="-1"/>
          <w:lang w:val="en-US"/>
        </w:rPr>
        <w:t>0</w:t>
      </w:r>
      <w:r>
        <w:rPr>
          <w:b/>
          <w:color w:val="000000"/>
          <w:spacing w:val="-1"/>
        </w:rPr>
        <w:t>.0</w:t>
      </w:r>
      <w:r>
        <w:rPr>
          <w:b/>
          <w:color w:val="000000"/>
          <w:spacing w:val="-1"/>
          <w:lang w:val="en-US"/>
        </w:rPr>
        <w:t>3</w:t>
      </w:r>
    </w:p>
    <w:p>
      <w:pPr>
        <w:jc w:val="center"/>
      </w:pPr>
    </w:p>
    <w:p>
      <w:pPr>
        <w:jc w:val="center"/>
      </w:pPr>
    </w:p>
    <w:p>
      <w:pPr>
        <w:jc w:val="center"/>
      </w:pPr>
    </w:p>
    <w:p>
      <w:pPr>
        <w:jc w:val="cente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p>
    <w:p>
      <w:pPr>
        <w:autoSpaceDE w:val="0"/>
        <w:autoSpaceDN w:val="0"/>
        <w:adjustRightInd w:val="0"/>
        <w:spacing w:before="120"/>
        <w:jc w:val="center"/>
        <w:rPr>
          <w:bCs/>
        </w:rPr>
      </w:pPr>
      <w:r>
        <w:rPr>
          <w:bCs/>
        </w:rPr>
        <w:t>Київ – 2023</w:t>
      </w:r>
    </w:p>
    <w:p>
      <w:pPr>
        <w:autoSpaceDE w:val="0"/>
        <w:autoSpaceDN w:val="0"/>
        <w:adjustRightInd w:val="0"/>
        <w:spacing w:before="120"/>
        <w:jc w:val="center"/>
        <w:rPr>
          <w:bCs/>
        </w:rPr>
        <w:sectPr>
          <w:headerReference r:id="rId5" w:type="default"/>
          <w:pgSz w:w="11906" w:h="16838"/>
          <w:pgMar w:top="1134" w:right="567" w:bottom="1134" w:left="1701" w:header="709" w:footer="709" w:gutter="0"/>
          <w:cols w:space="708" w:num="1"/>
          <w:titlePg/>
          <w:docGrid w:linePitch="381" w:charSpace="0"/>
        </w:sectPr>
      </w:pPr>
    </w:p>
    <w:p>
      <w:pPr>
        <w:tabs>
          <w:tab w:val="left" w:pos="6756"/>
        </w:tabs>
      </w:pPr>
    </w:p>
    <w:tbl>
      <w:tblPr>
        <w:tblStyle w:val="3"/>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63" w:type="dxa"/>
            <w:shd w:val="clear" w:color="auto" w:fill="auto"/>
          </w:tcPr>
          <w:p>
            <w:pPr>
              <w:widowControl w:val="0"/>
              <w:autoSpaceDE w:val="0"/>
              <w:autoSpaceDN w:val="0"/>
              <w:adjustRightInd w:val="0"/>
              <w:jc w:val="center"/>
            </w:pPr>
            <w:r>
              <w:t>Складові звіту з якості з урахуванням SIMS</w:t>
            </w:r>
          </w:p>
        </w:tc>
        <w:tc>
          <w:tcPr>
            <w:tcW w:w="8221" w:type="dxa"/>
            <w:shd w:val="clear" w:color="auto" w:fill="auto"/>
          </w:tcPr>
          <w:p>
            <w:pPr>
              <w:widowControl w:val="0"/>
              <w:autoSpaceDE w:val="0"/>
              <w:autoSpaceDN w:val="0"/>
              <w:adjustRightInd w:val="0"/>
              <w:jc w:val="center"/>
            </w:pPr>
            <w:r>
              <w:t>Для заповнення керівником ДСС</w:t>
            </w:r>
          </w:p>
        </w:tc>
      </w:tr>
    </w:tbl>
    <w:p>
      <w:pPr>
        <w:rPr>
          <w:sz w:val="4"/>
          <w:szCs w:val="4"/>
        </w:rPr>
      </w:pPr>
    </w:p>
    <w:tbl>
      <w:tblPr>
        <w:tblStyle w:val="3"/>
        <w:tblW w:w="1488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blHeader/>
        </w:trPr>
        <w:tc>
          <w:tcPr>
            <w:tcW w:w="6663" w:type="dxa"/>
            <w:shd w:val="clear" w:color="auto" w:fill="auto"/>
            <w:vAlign w:val="center"/>
          </w:tcPr>
          <w:p>
            <w:pPr>
              <w:jc w:val="center"/>
            </w:pPr>
            <w:r>
              <w:t>1</w:t>
            </w:r>
          </w:p>
        </w:tc>
        <w:tc>
          <w:tcPr>
            <w:tcW w:w="8221" w:type="dxa"/>
            <w:shd w:val="clear" w:color="auto" w:fill="auto"/>
            <w:vAlign w:val="center"/>
          </w:tcPr>
          <w:p>
            <w:pPr>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84" w:type="dxa"/>
            <w:gridSpan w:val="2"/>
            <w:shd w:val="clear" w:color="auto" w:fill="auto"/>
          </w:tcPr>
          <w:p>
            <w:pPr>
              <w:widowControl w:val="0"/>
              <w:autoSpaceDE w:val="0"/>
              <w:autoSpaceDN w:val="0"/>
              <w:adjustRightInd w:val="0"/>
            </w:pPr>
            <w:r>
              <w:t>S.1. Контакти самостійних структурних підрозділів апарату Держстату з питань даних і метаданих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S.1.1. Контактна організація</w:t>
            </w:r>
          </w:p>
        </w:tc>
        <w:tc>
          <w:tcPr>
            <w:tcW w:w="8221" w:type="dxa"/>
            <w:shd w:val="clear" w:color="auto" w:fill="auto"/>
          </w:tcPr>
          <w:p>
            <w:pPr>
              <w:widowControl w:val="0"/>
              <w:autoSpaceDE w:val="0"/>
              <w:autoSpaceDN w:val="0"/>
              <w:adjustRightInd w:val="0"/>
              <w:ind w:firstLine="430"/>
              <w:jc w:val="both"/>
            </w:pPr>
            <w:r>
              <w:rPr>
                <w:bCs/>
              </w:rPr>
              <w:t>Державна служба статистики України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S.1.2. Контактний підрозділ в організації</w:t>
            </w:r>
          </w:p>
        </w:tc>
        <w:tc>
          <w:tcPr>
            <w:tcW w:w="8221" w:type="dxa"/>
            <w:shd w:val="clear" w:color="auto" w:fill="auto"/>
          </w:tcPr>
          <w:p>
            <w:pPr>
              <w:ind w:firstLine="430"/>
              <w:jc w:val="both"/>
              <w:rPr>
                <w:bCs/>
              </w:rPr>
            </w:pPr>
            <w:r>
              <w:rPr>
                <w:bCs/>
              </w:rPr>
              <w:t>Департамент соціальної статистики,</w:t>
            </w:r>
          </w:p>
          <w:p>
            <w:pPr>
              <w:widowControl w:val="0"/>
              <w:autoSpaceDE w:val="0"/>
              <w:autoSpaceDN w:val="0"/>
              <w:adjustRightInd w:val="0"/>
              <w:ind w:firstLine="455"/>
              <w:jc w:val="both"/>
              <w:rPr>
                <w:bCs/>
              </w:rPr>
            </w:pPr>
            <w:r>
              <w:rPr>
                <w:bCs/>
              </w:rPr>
              <w:t>відділ моніторингу соціальних програм і одноразових</w:t>
            </w:r>
          </w:p>
          <w:p>
            <w:pPr>
              <w:widowControl w:val="0"/>
              <w:autoSpaceDE w:val="0"/>
              <w:autoSpaceDN w:val="0"/>
              <w:adjustRightInd w:val="0"/>
              <w:ind w:firstLine="455"/>
              <w:jc w:val="both"/>
            </w:pPr>
            <w:r>
              <w:rPr>
                <w:bCs/>
              </w:rPr>
              <w:t>обстежень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S.1.3. Власне ім’я, прізвище контактної особи</w:t>
            </w:r>
          </w:p>
        </w:tc>
        <w:tc>
          <w:tcPr>
            <w:tcW w:w="8221" w:type="dxa"/>
            <w:shd w:val="clear" w:color="auto" w:fill="auto"/>
          </w:tcPr>
          <w:p>
            <w:pPr>
              <w:ind w:firstLine="430"/>
              <w:jc w:val="both"/>
              <w:rPr>
                <w:bCs/>
                <w:lang w:val="ru-RU"/>
              </w:rPr>
            </w:pPr>
            <w:r>
              <w:rPr>
                <w:bCs/>
                <w:lang w:val="ru-RU"/>
              </w:rPr>
              <w:t>Сеник Інеса Віталіївна</w:t>
            </w:r>
          </w:p>
          <w:p>
            <w:pPr>
              <w:widowControl w:val="0"/>
              <w:autoSpaceDE w:val="0"/>
              <w:autoSpaceDN w:val="0"/>
              <w:adjustRightInd w:val="0"/>
              <w:ind w:firstLine="430"/>
              <w:jc w:val="both"/>
            </w:pPr>
            <w:r>
              <w:rPr>
                <w:bCs/>
              </w:rPr>
              <w:t>Герасименко Андрій Володимирович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S.1.4. Посада контактної особи</w:t>
            </w:r>
          </w:p>
        </w:tc>
        <w:tc>
          <w:tcPr>
            <w:tcW w:w="8221" w:type="dxa"/>
            <w:shd w:val="clear" w:color="auto" w:fill="auto"/>
          </w:tcPr>
          <w:p>
            <w:pPr>
              <w:ind w:firstLine="430"/>
              <w:jc w:val="both"/>
              <w:rPr>
                <w:bCs/>
              </w:rPr>
            </w:pPr>
            <w:r>
              <w:rPr>
                <w:bCs/>
              </w:rPr>
              <w:t xml:space="preserve">Директор департаменту </w:t>
            </w:r>
            <w:r>
              <w:rPr>
                <w:bCs/>
                <w:lang w:val="ru-RU"/>
              </w:rPr>
              <w:t>соціаль</w:t>
            </w:r>
            <w:r>
              <w:rPr>
                <w:bCs/>
              </w:rPr>
              <w:t>ної статистики,</w:t>
            </w:r>
          </w:p>
          <w:p>
            <w:pPr>
              <w:widowControl w:val="0"/>
              <w:autoSpaceDE w:val="0"/>
              <w:autoSpaceDN w:val="0"/>
              <w:adjustRightInd w:val="0"/>
              <w:ind w:firstLine="430"/>
              <w:jc w:val="both"/>
              <w:rPr>
                <w:bCs/>
              </w:rPr>
            </w:pPr>
            <w:r>
              <w:rPr>
                <w:bCs/>
              </w:rPr>
              <w:t xml:space="preserve">заступник директора департаменту </w:t>
            </w:r>
            <w:r>
              <w:rPr>
                <w:bCs/>
                <w:lang w:val="ru-RU"/>
              </w:rPr>
              <w:t>соціаль</w:t>
            </w:r>
            <w:r>
              <w:rPr>
                <w:bCs/>
              </w:rPr>
              <w:t>ної статистики -</w:t>
            </w:r>
          </w:p>
          <w:p>
            <w:pPr>
              <w:widowControl w:val="0"/>
              <w:autoSpaceDE w:val="0"/>
              <w:autoSpaceDN w:val="0"/>
              <w:adjustRightInd w:val="0"/>
              <w:ind w:firstLine="430"/>
              <w:jc w:val="both"/>
              <w:rPr>
                <w:bCs/>
              </w:rPr>
            </w:pPr>
            <w:r>
              <w:rPr>
                <w:bCs/>
              </w:rPr>
              <w:t xml:space="preserve">начальник відділу моніторингу соціальних програм і </w:t>
            </w:r>
          </w:p>
          <w:p>
            <w:pPr>
              <w:widowControl w:val="0"/>
              <w:autoSpaceDE w:val="0"/>
              <w:autoSpaceDN w:val="0"/>
              <w:adjustRightInd w:val="0"/>
              <w:ind w:firstLine="430"/>
              <w:jc w:val="both"/>
              <w:rPr>
                <w:bCs/>
              </w:rPr>
            </w:pPr>
            <w:r>
              <w:rPr>
                <w:bCs/>
              </w:rPr>
              <w:t>одноразових</w:t>
            </w:r>
            <w:r>
              <w:rPr>
                <w:bCs/>
                <w:lang w:val="en-US"/>
              </w:rPr>
              <w:t xml:space="preserve"> </w:t>
            </w:r>
            <w:r>
              <w:rPr>
                <w:bCs/>
              </w:rPr>
              <w:t xml:space="preserve">обстежень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S.1.5. Контактна поштова адреса</w:t>
            </w:r>
          </w:p>
        </w:tc>
        <w:tc>
          <w:tcPr>
            <w:tcW w:w="8221" w:type="dxa"/>
            <w:shd w:val="clear" w:color="auto" w:fill="auto"/>
          </w:tcPr>
          <w:p>
            <w:pPr>
              <w:ind w:firstLine="430"/>
              <w:jc w:val="both"/>
              <w:rPr>
                <w:bCs/>
                <w:u w:val="single"/>
              </w:rPr>
            </w:pPr>
            <w:r>
              <w:rPr>
                <w:bCs/>
              </w:rPr>
              <w:t>вул. Ш. Руставелі, 3, м. Київ, 01601, Україна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S.1.6. Контактна електронна адреса</w:t>
            </w:r>
          </w:p>
        </w:tc>
        <w:tc>
          <w:tcPr>
            <w:tcW w:w="8221" w:type="dxa"/>
            <w:shd w:val="clear" w:color="auto" w:fill="auto"/>
          </w:tcPr>
          <w:p>
            <w:pPr>
              <w:ind w:firstLine="430"/>
              <w:jc w:val="both"/>
              <w:rPr>
                <w:bCs/>
              </w:rPr>
            </w:pPr>
            <w:r>
              <w:fldChar w:fldCharType="begin"/>
            </w:r>
            <w:r>
              <w:instrText xml:space="preserve"> HYPERLINK "mailto:" </w:instrText>
            </w:r>
            <w:r>
              <w:fldChar w:fldCharType="separate"/>
            </w:r>
            <w:r>
              <w:fldChar w:fldCharType="end"/>
            </w:r>
            <w:r>
              <w:fldChar w:fldCharType="begin"/>
            </w:r>
            <w:r>
              <w:instrText xml:space="preserve"> HYPERLINK "mailto:i.senyk@sssu.gov.ua" </w:instrText>
            </w:r>
            <w:r>
              <w:fldChar w:fldCharType="separate"/>
            </w:r>
            <w:r>
              <w:rPr>
                <w:rStyle w:val="11"/>
                <w:bCs/>
                <w:color w:val="auto"/>
                <w:u w:val="none"/>
              </w:rPr>
              <w:t>i.senyk@sssu.gov.ua</w:t>
            </w:r>
            <w:r>
              <w:rPr>
                <w:rStyle w:val="11"/>
                <w:bCs/>
                <w:color w:val="auto"/>
                <w:u w:val="none"/>
              </w:rPr>
              <w:fldChar w:fldCharType="end"/>
            </w:r>
            <w:r>
              <w:rPr>
                <w:bCs/>
              </w:rPr>
              <w:t xml:space="preserve"> </w:t>
            </w:r>
          </w:p>
          <w:p>
            <w:pPr>
              <w:widowControl w:val="0"/>
              <w:autoSpaceDE w:val="0"/>
              <w:autoSpaceDN w:val="0"/>
              <w:adjustRightInd w:val="0"/>
              <w:ind w:firstLine="430"/>
              <w:jc w:val="both"/>
            </w:pPr>
            <w:r>
              <w:fldChar w:fldCharType="begin"/>
            </w:r>
            <w:r>
              <w:instrText xml:space="preserve"> HYPERLINK "mailto:" </w:instrText>
            </w:r>
            <w:r>
              <w:fldChar w:fldCharType="separate"/>
            </w:r>
            <w:r>
              <w:fldChar w:fldCharType="end"/>
            </w:r>
            <w:r>
              <w:fldChar w:fldCharType="begin"/>
            </w:r>
            <w:r>
              <w:instrText xml:space="preserve"> HYPERLINK "mailto:a.gerasimenko@sssu.gov.ua" </w:instrText>
            </w:r>
            <w:r>
              <w:fldChar w:fldCharType="separate"/>
            </w:r>
            <w:r>
              <w:rPr>
                <w:rStyle w:val="11"/>
                <w:bCs/>
                <w:color w:val="auto"/>
                <w:u w:val="none"/>
              </w:rPr>
              <w:t>a.gerasimenko@sssu.gov.ua</w:t>
            </w:r>
            <w:r>
              <w:rPr>
                <w:rStyle w:val="11"/>
                <w:bCs/>
                <w:color w:val="auto"/>
                <w:u w:val="none"/>
              </w:rPr>
              <w:fldChar w:fldCharType="end"/>
            </w:r>
            <w:r>
              <w:rPr>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S.1.7. Контактний номер телефону</w:t>
            </w:r>
          </w:p>
        </w:tc>
        <w:tc>
          <w:tcPr>
            <w:tcW w:w="8221" w:type="dxa"/>
            <w:shd w:val="clear" w:color="auto" w:fill="auto"/>
          </w:tcPr>
          <w:p>
            <w:pPr>
              <w:ind w:firstLine="430"/>
              <w:jc w:val="both"/>
              <w:rPr>
                <w:bCs/>
              </w:rPr>
            </w:pPr>
            <w:r>
              <w:rPr>
                <w:bCs/>
              </w:rPr>
              <w:t>(044) 234-21-32</w:t>
            </w:r>
          </w:p>
          <w:p>
            <w:pPr>
              <w:widowControl w:val="0"/>
              <w:autoSpaceDE w:val="0"/>
              <w:autoSpaceDN w:val="0"/>
              <w:adjustRightInd w:val="0"/>
              <w:ind w:firstLine="430"/>
              <w:jc w:val="both"/>
            </w:pPr>
            <w:r>
              <w:rPr>
                <w:bCs/>
              </w:rPr>
              <w:t xml:space="preserve">(044) 289 </w:t>
            </w:r>
            <w:r>
              <w:rPr>
                <w:bCs/>
                <w:lang w:val="en-US"/>
              </w:rPr>
              <w:t>44</w:t>
            </w:r>
            <w:r>
              <w:rPr>
                <w:bCs/>
              </w:rPr>
              <w:t xml:space="preserve"> </w:t>
            </w:r>
            <w:r>
              <w:rPr>
                <w:bCs/>
                <w:lang w:val="en-US"/>
              </w:rPr>
              <w:t>49</w:t>
            </w:r>
            <w:r>
              <w:rPr>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S.1.8. Контактний номер факсу</w:t>
            </w:r>
          </w:p>
        </w:tc>
        <w:tc>
          <w:tcPr>
            <w:tcW w:w="8221" w:type="dxa"/>
            <w:shd w:val="clear" w:color="auto" w:fill="auto"/>
          </w:tcPr>
          <w:p>
            <w:pPr>
              <w:widowControl w:val="0"/>
              <w:autoSpaceDE w:val="0"/>
              <w:autoSpaceDN w:val="0"/>
              <w:adjustRightInd w:val="0"/>
              <w:ind w:firstLine="430"/>
              <w:jc w:val="both"/>
            </w:pPr>
            <w:r>
              <w:rPr>
                <w:bCs/>
              </w:rPr>
              <w:t xml:space="preserve">(044) 235 37 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884" w:type="dxa"/>
            <w:gridSpan w:val="2"/>
            <w:shd w:val="clear" w:color="auto" w:fill="auto"/>
          </w:tcPr>
          <w:p>
            <w:pPr>
              <w:widowControl w:val="0"/>
              <w:autoSpaceDE w:val="0"/>
              <w:autoSpaceDN w:val="0"/>
              <w:adjustRightInd w:val="0"/>
            </w:pPr>
            <w:r>
              <w:t>S.2. Оновлення метаданих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S.2.1. Дата останнього оновлення метаданих</w:t>
            </w:r>
          </w:p>
        </w:tc>
        <w:tc>
          <w:tcPr>
            <w:tcW w:w="8221" w:type="dxa"/>
            <w:shd w:val="clear" w:color="auto" w:fill="auto"/>
          </w:tcPr>
          <w:p>
            <w:pPr>
              <w:ind w:firstLine="430"/>
              <w:jc w:val="both"/>
            </w:pPr>
            <w:r>
              <w:rPr>
                <w:color w:val="000000"/>
                <w:lang w:val="en-US"/>
              </w:rPr>
              <w:t>26</w:t>
            </w:r>
            <w:r>
              <w:rPr>
                <w:color w:val="000000"/>
              </w:rPr>
              <w:t xml:space="preserve"> грудня 2022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S.2.2. Дата останнього розміщення метаданих</w:t>
            </w:r>
          </w:p>
        </w:tc>
        <w:tc>
          <w:tcPr>
            <w:tcW w:w="8221" w:type="dxa"/>
            <w:shd w:val="clear" w:color="auto" w:fill="auto"/>
          </w:tcPr>
          <w:p>
            <w:pPr>
              <w:ind w:firstLine="430"/>
              <w:jc w:val="both"/>
            </w:pPr>
            <w:r>
              <w:rPr>
                <w:color w:val="000000"/>
                <w:lang w:val="en-US"/>
              </w:rPr>
              <w:t>26</w:t>
            </w:r>
            <w:r>
              <w:rPr>
                <w:color w:val="000000"/>
              </w:rPr>
              <w:t xml:space="preserve"> грудня 2022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3" w:type="dxa"/>
            <w:shd w:val="clear" w:color="auto" w:fill="auto"/>
          </w:tcPr>
          <w:p>
            <w:pPr>
              <w:widowControl w:val="0"/>
              <w:autoSpaceDE w:val="0"/>
              <w:autoSpaceDN w:val="0"/>
              <w:adjustRightInd w:val="0"/>
            </w:pPr>
            <w:r>
              <w:t>S.2.3. Дата останнього оновлення вмісту метаданих</w:t>
            </w:r>
          </w:p>
        </w:tc>
        <w:tc>
          <w:tcPr>
            <w:tcW w:w="8221" w:type="dxa"/>
            <w:shd w:val="clear" w:color="auto" w:fill="auto"/>
          </w:tcPr>
          <w:p>
            <w:pPr>
              <w:ind w:firstLine="430"/>
              <w:jc w:val="both"/>
            </w:pPr>
            <w:r>
              <w:rPr>
                <w:color w:val="000000"/>
                <w:lang w:val="en-US"/>
              </w:rPr>
              <w:t>26</w:t>
            </w:r>
            <w:r>
              <w:rPr>
                <w:color w:val="000000"/>
              </w:rPr>
              <w:t xml:space="preserve"> грудня 2022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S.3. Статистичне представлення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S.3.1. Опис даних</w:t>
            </w:r>
          </w:p>
        </w:tc>
        <w:tc>
          <w:tcPr>
            <w:tcW w:w="8221" w:type="dxa"/>
            <w:shd w:val="clear" w:color="auto" w:fill="auto"/>
          </w:tcPr>
          <w:p>
            <w:pPr>
              <w:ind w:firstLine="430"/>
              <w:jc w:val="both"/>
              <w:rPr>
                <w:bCs/>
              </w:rPr>
            </w:pPr>
            <w:r>
              <w:rPr>
                <w:bCs/>
              </w:rPr>
              <w:t>Метою проведення ДСС є формування інформації про оплату населенням житлово-комунальних послуг для інформаційного забезпечення моніторингу та оцінювання ефективності програм соціальної підтримки населення й державної регіональної політики, статистики національних рахунків.</w:t>
            </w:r>
          </w:p>
          <w:p>
            <w:pPr>
              <w:pStyle w:val="12"/>
              <w:spacing w:before="0" w:beforeAutospacing="0" w:after="0" w:afterAutospacing="0"/>
              <w:ind w:firstLine="430"/>
              <w:contextualSpacing/>
              <w:jc w:val="both"/>
              <w:rPr>
                <w:sz w:val="28"/>
                <w:szCs w:val="28"/>
                <w:shd w:val="clear" w:color="auto" w:fill="FFFFFF"/>
                <w:lang w:val="uk-UA"/>
              </w:rPr>
            </w:pPr>
            <w:r>
              <w:rPr>
                <w:bCs/>
                <w:sz w:val="28"/>
                <w:szCs w:val="28"/>
                <w:lang w:val="uk-UA"/>
              </w:rPr>
              <w:t>За результатами ДСС формуються показники:</w:t>
            </w:r>
          </w:p>
          <w:p>
            <w:pPr>
              <w:ind w:firstLine="455"/>
              <w:jc w:val="both"/>
            </w:pPr>
            <w:r>
              <w:t>1) сума коштів, нарахованих населенню до сплати за житлово-комунальні послуги;</w:t>
            </w:r>
          </w:p>
          <w:p>
            <w:pPr>
              <w:ind w:firstLine="455"/>
              <w:jc w:val="both"/>
            </w:pPr>
            <w:r>
              <w:t>2) сума коштів, сплачених населенням за житлово-комунальні послуги;</w:t>
            </w:r>
          </w:p>
          <w:p>
            <w:pPr>
              <w:ind w:firstLine="455"/>
              <w:jc w:val="both"/>
            </w:pPr>
            <w:r>
              <w:t>3) сума заборгованості населення з оплати житлово-комунальних послуг;</w:t>
            </w:r>
          </w:p>
          <w:p>
            <w:pPr>
              <w:ind w:firstLine="455"/>
              <w:jc w:val="both"/>
            </w:pPr>
            <w:r>
              <w:t>4) рівень оплати населенням житлово-комунальних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S.3.2. Класифікатори (класифікації) та стандарти</w:t>
            </w:r>
          </w:p>
        </w:tc>
        <w:tc>
          <w:tcPr>
            <w:tcW w:w="8221" w:type="dxa"/>
            <w:shd w:val="clear" w:color="auto" w:fill="auto"/>
          </w:tcPr>
          <w:p>
            <w:pPr>
              <w:ind w:firstLine="430"/>
              <w:jc w:val="both"/>
            </w:pPr>
            <w:r>
              <w:t xml:space="preserve">При проведенні ДСС використовують: </w:t>
            </w:r>
          </w:p>
          <w:p>
            <w:pPr>
              <w:jc w:val="both"/>
            </w:pPr>
            <w:r>
              <w:t>Класифікація організаційно-правових форм господарювання:</w:t>
            </w:r>
          </w:p>
          <w:p>
            <w:pPr>
              <w:autoSpaceDE w:val="0"/>
              <w:autoSpaceDN w:val="0"/>
              <w:adjustRightInd w:val="0"/>
              <w:rPr>
                <w:rFonts w:ascii="TimesNewRomanPSMT" w:hAnsi="TimesNewRomanPSMT" w:cs="TimesNewRomanPSMT" w:eastAsiaTheme="minorHAnsi"/>
                <w:color w:val="FF0000"/>
                <w:lang w:eastAsia="en-US"/>
              </w:rPr>
            </w:pPr>
            <w:r>
              <w:t>https://ukrstat.gov.ua/klasf/nac_kls/op_dk002_2016.htm;</w:t>
            </w:r>
          </w:p>
          <w:p>
            <w:pPr>
              <w:autoSpaceDE w:val="0"/>
              <w:autoSpaceDN w:val="0"/>
              <w:adjustRightInd w:val="0"/>
              <w:rPr>
                <w:rFonts w:ascii="TimesNewRomanPSMT" w:hAnsi="TimesNewRomanPSMT" w:cs="TimesNewRomanPSMT" w:eastAsiaTheme="minorHAnsi"/>
                <w:lang w:eastAsia="en-US"/>
              </w:rPr>
            </w:pPr>
            <w:r>
              <w:rPr>
                <w:rFonts w:ascii="TimesNewRomanPSMT" w:hAnsi="TimesNewRomanPSMT" w:cs="TimesNewRomanPSMT" w:eastAsiaTheme="minorHAnsi"/>
                <w:lang w:eastAsia="en-US"/>
              </w:rPr>
              <w:t>Кодифікатор адміністративно-територіальних одиниць та територій територіальних громад (КАТОТТГ):</w:t>
            </w:r>
          </w:p>
          <w:p>
            <w:pPr>
              <w:autoSpaceDE w:val="0"/>
              <w:autoSpaceDN w:val="0"/>
              <w:adjustRightInd w:val="0"/>
              <w:rPr>
                <w:rFonts w:ascii="TimesNewRomanPSMT" w:hAnsi="TimesNewRomanPSMT" w:cs="TimesNewRomanPSMT" w:eastAsiaTheme="minorHAnsi"/>
                <w:lang w:eastAsia="en-US"/>
              </w:rPr>
            </w:pPr>
            <w:r>
              <w:rPr>
                <w:rFonts w:ascii="TimesNewRomanPSMT" w:hAnsi="TimesNewRomanPSMT" w:cs="TimesNewRomanPSMT" w:eastAsiaTheme="minorHAnsi"/>
                <w:lang w:eastAsia="en-US"/>
              </w:rPr>
              <w:t>https://www.ukrstat.gov.ua/klasf/nac_kls/tab_kato.htm;</w:t>
            </w:r>
          </w:p>
          <w:p>
            <w:pPr>
              <w:autoSpaceDE w:val="0"/>
              <w:autoSpaceDN w:val="0"/>
              <w:adjustRightInd w:val="0"/>
              <w:rPr>
                <w:rFonts w:ascii="TimesNewRomanPSMT" w:hAnsi="TimesNewRomanPSMT" w:cs="TimesNewRomanPSMT" w:eastAsiaTheme="minorHAnsi"/>
                <w:lang w:eastAsia="en-US"/>
              </w:rPr>
            </w:pPr>
            <w:r>
              <w:rPr>
                <w:rFonts w:ascii="TimesNewRomanPSMT" w:hAnsi="TimesNewRomanPSMT" w:cs="TimesNewRomanPSMT" w:eastAsiaTheme="minorHAnsi"/>
                <w:lang w:eastAsia="en-US"/>
              </w:rPr>
              <w:t>Класифікація інституційних секторів економіки (КІСЕ):</w:t>
            </w:r>
          </w:p>
          <w:p>
            <w:pPr>
              <w:jc w:val="both"/>
            </w:pPr>
            <w:r>
              <w:rPr>
                <w:rFonts w:ascii="TimesNewRomanPSMT" w:hAnsi="TimesNewRomanPSMT" w:cs="TimesNewRomanPSMT" w:eastAsiaTheme="minorHAnsi"/>
                <w:lang w:eastAsia="en-US"/>
              </w:rPr>
              <w:t>https://ukrstat.gov.ua/klasf/st_kls/op_kise_2016.htm.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S.3.3. Сектор охоплення</w:t>
            </w:r>
          </w:p>
        </w:tc>
        <w:tc>
          <w:tcPr>
            <w:tcW w:w="8221" w:type="dxa"/>
            <w:shd w:val="clear" w:color="auto" w:fill="auto"/>
          </w:tcPr>
          <w:p>
            <w:pPr>
              <w:ind w:firstLine="430"/>
              <w:jc w:val="both"/>
              <w:rPr>
                <w:kern w:val="2"/>
              </w:rPr>
            </w:pPr>
            <w:r>
              <w:rPr>
                <w:kern w:val="2"/>
              </w:rPr>
              <w:t>ДСС охоплює юридичні особи (включаючи відокремлені підрозділи юридичних осіб), які надають населенню житлову послугу – послугу з управління багатоквартирним будинком та комунальні послуги, та відносяться за інституційним сектором економіки відповідно до КІСЕ до S.11, S.13 (крім S.1313) та S.15.</w:t>
            </w:r>
          </w:p>
          <w:p>
            <w:pPr>
              <w:ind w:firstLine="455"/>
              <w:jc w:val="both"/>
              <w:rPr>
                <w:bCs/>
                <w:iCs/>
              </w:rPr>
            </w:pPr>
            <w:r>
              <w:rPr>
                <w:bCs/>
                <w:iCs/>
              </w:rPr>
              <w:t>ДСС не поширюється на фізичних осіб-підприємців.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tabs>
                <w:tab w:val="left" w:pos="4584"/>
              </w:tabs>
              <w:autoSpaceDE w:val="0"/>
              <w:autoSpaceDN w:val="0"/>
              <w:adjustRightInd w:val="0"/>
            </w:pPr>
            <w:r>
              <w:t>S.3.4. Статистичні визначення</w:t>
            </w:r>
            <w:r>
              <w:tab/>
            </w:r>
          </w:p>
        </w:tc>
        <w:tc>
          <w:tcPr>
            <w:tcW w:w="8221" w:type="dxa"/>
            <w:shd w:val="clear" w:color="auto" w:fill="auto"/>
          </w:tcPr>
          <w:p>
            <w:pPr>
              <w:ind w:firstLine="430"/>
              <w:jc w:val="both"/>
              <w:rPr>
                <w:shd w:val="clear" w:color="auto" w:fill="FFFFFF"/>
              </w:rPr>
            </w:pPr>
            <w:r>
              <w:rPr>
                <w:shd w:val="clear" w:color="auto" w:fill="FFFFFF"/>
              </w:rPr>
              <w:t>У межах ДСС формуються такі показники із їх характеристиками (визначеннями):</w:t>
            </w:r>
          </w:p>
          <w:p>
            <w:pPr>
              <w:ind w:firstLine="430"/>
              <w:jc w:val="both"/>
            </w:pPr>
            <w:r>
              <w:rPr>
                <w:bCs/>
                <w:iCs/>
              </w:rPr>
              <w:t>"</w:t>
            </w:r>
            <w:r>
              <w:t>сума коштів, нарахованих населенню до сплати за житлово-комунальні послуги</w:t>
            </w:r>
            <w:r>
              <w:rPr>
                <w:bCs/>
                <w:iCs/>
              </w:rPr>
              <w:t>"</w:t>
            </w:r>
            <w:r>
              <w:t xml:space="preserve"> характеризує суму коштів, нарахованих надавачами житлово-комунальних населенню до сплати у звітному періоді;</w:t>
            </w:r>
          </w:p>
          <w:p>
            <w:pPr>
              <w:ind w:firstLine="430"/>
              <w:jc w:val="both"/>
            </w:pPr>
            <w:r>
              <w:rPr>
                <w:bCs/>
                <w:iCs/>
              </w:rPr>
              <w:t>"</w:t>
            </w:r>
            <w:r>
              <w:t>сума коштів, сплачених населенням за житлово-комунальні послуги</w:t>
            </w:r>
            <w:r>
              <w:rPr>
                <w:bCs/>
                <w:iCs/>
              </w:rPr>
              <w:t>"</w:t>
            </w:r>
            <w:r>
              <w:t xml:space="preserve"> характеризує суму коштів, сплачених населенням за спожиті житлово-комунальні послуги надавачам житлово-комунальних послуг у звітному періоді; може включати суму коштів, сплачених як погашення боргів попередніх періодів, та суму коштів, сплачених наперед; </w:t>
            </w:r>
          </w:p>
          <w:p>
            <w:pPr>
              <w:ind w:firstLine="430"/>
              <w:jc w:val="both"/>
            </w:pPr>
            <w:r>
              <w:rPr>
                <w:bCs/>
                <w:iCs/>
              </w:rPr>
              <w:t>"</w:t>
            </w:r>
            <w:r>
              <w:t>сума заборгованості населення з оплати житлово-комунальних послуг</w:t>
            </w:r>
            <w:r>
              <w:rPr>
                <w:bCs/>
                <w:iCs/>
              </w:rPr>
              <w:t>"</w:t>
            </w:r>
            <w:r>
              <w:t xml:space="preserve"> характеризує суму заборгованості населення перед надавачами житлово-комунальних послуг за спожиті у звітному періоді житлово-комунальні послуги та включає суму заборгованості за попередні звітні періоди;</w:t>
            </w:r>
          </w:p>
          <w:p>
            <w:pPr>
              <w:ind w:firstLine="430"/>
              <w:jc w:val="both"/>
            </w:pPr>
            <w:r>
              <w:rPr>
                <w:bCs/>
                <w:iCs/>
              </w:rPr>
              <w:t>"</w:t>
            </w:r>
            <w:r>
              <w:t>рівень оплати населенням житлово-комунальних послуг</w:t>
            </w:r>
            <w:r>
              <w:rPr>
                <w:bCs/>
                <w:iCs/>
              </w:rPr>
              <w:t>"</w:t>
            </w:r>
            <w:r>
              <w:t xml:space="preserve"> розраховується як співвідношення суми коштів, сплачених населенням за житлово-комунальні послуги у звітному періоді, до суми коштів, нарахованих населенню до сплати за житлово-комунальні послуги у звітному періоді, помножене на 100, та визначає відносну величину рівня оплати населенням житлово-комунальних послуг у звітному періоді.</w:t>
            </w:r>
          </w:p>
          <w:p>
            <w:pPr>
              <w:ind w:firstLine="430"/>
              <w:jc w:val="both"/>
            </w:pPr>
            <w:r>
              <w:t>Формування показників ДСС здійснюється в розрізі видів житлово-комунальних послуг (управління багатоквартирним будинком, централізоване водопостачання та водовідведення, постачання теплової енергії та гарячої води, постачання та розподіл природного газу, поводження з побутовими відходами, постачання та розподіл електричної енергії).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S.3.5. Статистична одиниця</w:t>
            </w:r>
          </w:p>
        </w:tc>
        <w:tc>
          <w:tcPr>
            <w:tcW w:w="8221" w:type="dxa"/>
            <w:shd w:val="clear" w:color="auto" w:fill="auto"/>
          </w:tcPr>
          <w:p>
            <w:pPr>
              <w:ind w:firstLine="430"/>
              <w:contextualSpacing/>
              <w:jc w:val="both"/>
              <w:rPr>
                <w:color w:val="000000"/>
              </w:rPr>
            </w:pPr>
            <w:r>
              <w:rPr>
                <w:color w:val="000000"/>
              </w:rPr>
              <w:t>Одиницею статистичного спостереження є юридична особа (включаючи відокремлені підрозділи).</w:t>
            </w:r>
          </w:p>
          <w:p>
            <w:pPr>
              <w:ind w:firstLine="430"/>
              <w:contextualSpacing/>
              <w:jc w:val="both"/>
            </w:pPr>
            <w:r>
              <w:t>Для формування генеральної сукупності та сукупності одиниць, що вивчається, застосовується статистична одиниця - місцева одиниця.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S.3.6. Статистична сукупність</w:t>
            </w:r>
          </w:p>
        </w:tc>
        <w:tc>
          <w:tcPr>
            <w:tcW w:w="8221" w:type="dxa"/>
            <w:shd w:val="clear" w:color="auto" w:fill="auto"/>
          </w:tcPr>
          <w:p>
            <w:pPr>
              <w:ind w:firstLine="430"/>
              <w:jc w:val="both"/>
              <w:rPr>
                <w:bCs/>
              </w:rPr>
            </w:pPr>
            <w:r>
              <w:rPr>
                <w:bCs/>
              </w:rPr>
              <w:t xml:space="preserve">Об’єктом статистичного спостереження (цільовою сукупністю) є юридичні особи (включаючи її відокремлені підрозділи), які </w:t>
            </w:r>
            <w:r>
              <w:rPr>
                <w:kern w:val="2"/>
              </w:rPr>
              <w:t>надають населенню житлову послугу – послугу з управління багатоквартирним будинком та комунальні послуги</w:t>
            </w:r>
            <w:r>
              <w:rPr>
                <w:bCs/>
              </w:rPr>
              <w:t>.</w:t>
            </w:r>
          </w:p>
          <w:p>
            <w:pPr>
              <w:ind w:firstLine="430"/>
              <w:jc w:val="both"/>
              <w:rPr>
                <w:bCs/>
              </w:rPr>
            </w:pPr>
            <w:r>
              <w:rPr>
                <w:bCs/>
              </w:rPr>
              <w:t xml:space="preserve">На основі генеральної сукупності формується сукупність одиниць статистичного спостереження, що вивчається, до якої обираються: </w:t>
            </w:r>
          </w:p>
          <w:p>
            <w:pPr>
              <w:ind w:firstLine="430"/>
              <w:jc w:val="both"/>
              <w:rPr>
                <w:bCs/>
              </w:rPr>
            </w:pPr>
            <w:r>
              <w:rPr>
                <w:bCs/>
              </w:rPr>
              <w:t>1) одиниці, наявні у:</w:t>
            </w:r>
          </w:p>
          <w:p>
            <w:pPr>
              <w:ind w:firstLine="430"/>
              <w:jc w:val="both"/>
            </w:pPr>
            <w:r>
              <w:t>ліцензійному реєстрі НКРЕКП (www.nerc.gov.ua), зокрема у сферах теплопостачання, централізованого водопостачання та водовідведення, що переходять під регулювання місцевих органів влади;</w:t>
            </w:r>
          </w:p>
          <w:p>
            <w:pPr>
              <w:ind w:firstLine="430"/>
              <w:jc w:val="both"/>
            </w:pPr>
            <w:r>
              <w:t>реєстрі суб’єктів природних монополій, які провадять господарську діяльність у сфері енергетики (www.nerc.gov.ua);</w:t>
            </w:r>
          </w:p>
          <w:p>
            <w:pPr>
              <w:ind w:firstLine="430"/>
              <w:jc w:val="both"/>
            </w:pPr>
            <w:r>
              <w:t>реєстрі суб’єктів господарювання, які провадять діяльність у сферах енергетики та комунальних послуг, діяльність яких регулює НКРЕКП (www.nerc.gov.ua);</w:t>
            </w:r>
          </w:p>
          <w:p>
            <w:pPr>
              <w:ind w:firstLine="430"/>
              <w:jc w:val="both"/>
            </w:pPr>
            <w:r>
              <w:t>переліках юридичних осіб, призначених управителями багатоквартирних будинків, розміщених на вебсайті Міністерства розвитку громад та територій України, офіційних вебсайтах виконавчих органів місцевих рад, на території яких розташовані багатоквартирні будинки, або інших органів – суб’єктів владних повноважень, яким делеговано функції зі здійснення управління об’єктами житлово-комунального господарства, забезпечення їх утримання, ефективної експлуатації та необхідного рівня та якості послуг;</w:t>
            </w:r>
          </w:p>
          <w:p>
            <w:pPr>
              <w:ind w:firstLine="430"/>
              <w:jc w:val="both"/>
            </w:pPr>
            <w:r>
              <w:t>2) органи місцевого самоврядування в сільській місцевості (код за КОПФГ 420) з категорією об’єкта згідно з КАТОТТГ "С" та "Х", з урахуванням інформації про одиниці, щодо яких не було отримано звіти впродовж звітного та попереднього періодів;</w:t>
            </w:r>
          </w:p>
          <w:p>
            <w:pPr>
              <w:ind w:firstLine="430"/>
              <w:jc w:val="both"/>
            </w:pPr>
            <w:r>
              <w:t>3) одиниці, які мають на балансі або експлуатують гуртожитки, що є об’єктами права державної та комунальної власності, крім гуртожитків, що перебувають у господарському віданні чи в оперативному управлінні військових частин, закладів, установ та організацій Національної гвардії України, Служби безпеки України, Державної прикордонної служби України, Збройних Сил України та інших утворених відповідно до законів України військових формувань, Державної спеціальної служби транспорту, Міністерства внутрішніх справ України, Національної поліції України, Державної кримінально-виконавчої служби України, Державної служби спеціального зв’язку та захисту інформації України, Державної служби України з надзвичайних ситуацій (крім тих, що знаходяться поза межами військових частин, закладів, установ, організацій), державних закладів освіти (крім тих, яким надано статус гуртожитків сімейного типу та призначених для проживання сімей викладачів і працівників), Національної академії наук України (крім тих, яким надано статус гуртожитків сімейного типу та призначених для проживання сімей);</w:t>
            </w:r>
          </w:p>
          <w:p>
            <w:pPr>
              <w:ind w:firstLine="430"/>
              <w:jc w:val="both"/>
            </w:pPr>
            <w:r>
              <w:t xml:space="preserve">4) одиниці що подали звіти за формою № 1-заборгованість (ЖКГ) (квартальна) за І-ІІІ квартали звітного року, уключаючи тих, які подали звіти за власною ініціативою.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S.3.7. Відповідна область</w:t>
            </w:r>
          </w:p>
        </w:tc>
        <w:tc>
          <w:tcPr>
            <w:tcW w:w="8221" w:type="dxa"/>
            <w:shd w:val="clear" w:color="auto" w:fill="auto"/>
          </w:tcPr>
          <w:p>
            <w:pPr>
              <w:widowControl w:val="0"/>
              <w:autoSpaceDE w:val="0"/>
              <w:autoSpaceDN w:val="0"/>
              <w:adjustRightInd w:val="0"/>
              <w:ind w:firstLine="430"/>
              <w:jc w:val="both"/>
            </w:pPr>
            <w:r>
              <w:rPr>
                <w:color w:val="000000"/>
                <w:lang w:eastAsia="en-US"/>
              </w:rPr>
              <w:t xml:space="preserve">Результати ДСС формуються по Україні в цілому </w:t>
            </w:r>
            <w:r>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Pr>
                <w:color w:val="00000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S.3.8. Часове охоплення</w:t>
            </w:r>
          </w:p>
        </w:tc>
        <w:tc>
          <w:tcPr>
            <w:tcW w:w="8221" w:type="dxa"/>
            <w:shd w:val="clear" w:color="auto" w:fill="auto"/>
          </w:tcPr>
          <w:p>
            <w:pPr>
              <w:widowControl w:val="0"/>
              <w:autoSpaceDE w:val="0"/>
              <w:autoSpaceDN w:val="0"/>
              <w:adjustRightInd w:val="0"/>
              <w:ind w:firstLine="430"/>
              <w:jc w:val="both"/>
            </w:pPr>
            <w:r>
              <w:rPr>
                <w:bCs/>
              </w:rPr>
              <w:t xml:space="preserve">ДСС охоплює період із 1997 по 2021 роки. Динамічний </w:t>
            </w:r>
            <w:r>
              <w:rPr>
                <w:bCs/>
                <w:lang w:val="ru-RU"/>
              </w:rPr>
              <w:t xml:space="preserve">ряд описаний у </w:t>
            </w:r>
            <w:r>
              <w:rPr>
                <w:bCs/>
              </w:rPr>
              <w:t>пункті розділу</w:t>
            </w:r>
            <w:r>
              <w:rPr>
                <w:bCs/>
                <w:lang w:val="ru-RU"/>
              </w:rPr>
              <w:t xml:space="preserve"> S.15.2.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S.3.9. Базисний період</w:t>
            </w:r>
          </w:p>
        </w:tc>
        <w:tc>
          <w:tcPr>
            <w:tcW w:w="8221" w:type="dxa"/>
            <w:shd w:val="clear" w:color="auto" w:fill="auto"/>
          </w:tcPr>
          <w:p>
            <w:pPr>
              <w:widowControl w:val="0"/>
              <w:autoSpaceDE w:val="0"/>
              <w:autoSpaceDN w:val="0"/>
              <w:adjustRightInd w:val="0"/>
              <w:ind w:firstLine="430"/>
              <w:jc w:val="both"/>
            </w:pPr>
            <w:r>
              <w:t xml:space="preserve">За цим ДСС не застосовується поняття базисного періоду.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S.4. Одиниця вимірювання</w:t>
            </w:r>
          </w:p>
        </w:tc>
        <w:tc>
          <w:tcPr>
            <w:tcW w:w="8221" w:type="dxa"/>
            <w:shd w:val="clear" w:color="auto" w:fill="auto"/>
          </w:tcPr>
          <w:p>
            <w:pPr>
              <w:widowControl w:val="0"/>
              <w:autoSpaceDE w:val="0"/>
              <w:autoSpaceDN w:val="0"/>
              <w:adjustRightInd w:val="0"/>
              <w:ind w:firstLine="430"/>
              <w:jc w:val="both"/>
              <w:rPr>
                <w:lang w:val="pl-PL"/>
              </w:rPr>
            </w:pPr>
            <w:r>
              <w:rPr>
                <w:bCs/>
              </w:rPr>
              <w:t>Тисяча гривень</w:t>
            </w:r>
            <w:r>
              <w:rPr>
                <w:bCs/>
                <w:lang w:val="en-US"/>
              </w:rPr>
              <w:t>;</w:t>
            </w:r>
            <w:r>
              <w:rPr>
                <w:bCs/>
              </w:rPr>
              <w:t xml:space="preserve"> </w:t>
            </w:r>
            <w:r>
              <w:t>відсоток; рівень</w:t>
            </w:r>
            <w:r>
              <w:rPr>
                <w:lang w:val="pl-P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S.5. Звітний період</w:t>
            </w:r>
          </w:p>
        </w:tc>
        <w:tc>
          <w:tcPr>
            <w:tcW w:w="8221" w:type="dxa"/>
            <w:shd w:val="clear" w:color="auto" w:fill="auto"/>
          </w:tcPr>
          <w:p>
            <w:pPr>
              <w:ind w:firstLine="430"/>
              <w:jc w:val="both"/>
            </w:pPr>
            <w:r>
              <w:t>Останнім звітним періодом, за який також оприлюднено статистичну інформацію цього ДСС на офіційному вебсайті Держстату, уважається грудень 2021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S.6. Підстава для проведення спостереження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S.6.1. Законодавчі акти й угоди</w:t>
            </w:r>
          </w:p>
        </w:tc>
        <w:tc>
          <w:tcPr>
            <w:tcW w:w="8221" w:type="dxa"/>
            <w:shd w:val="clear" w:color="auto" w:fill="auto"/>
          </w:tcPr>
          <w:p>
            <w:pPr>
              <w:ind w:firstLine="430"/>
              <w:jc w:val="both"/>
            </w:pPr>
            <w:r>
              <w:t>Європейський рівень:</w:t>
            </w:r>
          </w:p>
          <w:p>
            <w:pPr>
              <w:pStyle w:val="13"/>
              <w:numPr>
                <w:ilvl w:val="0"/>
                <w:numId w:val="1"/>
              </w:numPr>
              <w:ind w:left="430"/>
              <w:jc w:val="both"/>
              <w:rPr>
                <w:lang w:val="pl-PL"/>
              </w:rPr>
            </w:pPr>
            <w:r>
              <w:t>Регламент (ЄС) № 549/2013 Європейського Парламенту і Ради від 21 травня 2013 р. про Європейську систему національних і регіональних рахунків у формулюванні Європейського Союзу, що діє в межах Європейського економічного простору (</w:t>
            </w:r>
            <w:r>
              <w:fldChar w:fldCharType="begin"/>
            </w:r>
            <w:r>
              <w:instrText xml:space="preserve"> HYPERLINK "https://eur-lex.europa.eu/legal-content/EN/TXT/?uri=CELEX%3A32013R0549&amp;qid=170227502483);%20" </w:instrText>
            </w:r>
            <w:r>
              <w:fldChar w:fldCharType="separate"/>
            </w:r>
            <w:r>
              <w:rPr>
                <w:rStyle w:val="11"/>
                <w:color w:val="auto"/>
                <w:u w:val="none"/>
              </w:rPr>
              <w:t xml:space="preserve">https://eur-lex.europa.eu/legal-content/EN/TXT/?uri=CELEX%3A32013R0549&amp;qid=170227502483); </w:t>
            </w:r>
            <w:r>
              <w:rPr>
                <w:rStyle w:val="11"/>
                <w:color w:val="auto"/>
                <w:u w:val="none"/>
              </w:rPr>
              <w:fldChar w:fldCharType="end"/>
            </w:r>
            <w:r>
              <w:t xml:space="preserve"> </w:t>
            </w:r>
          </w:p>
          <w:p>
            <w:pPr>
              <w:pStyle w:val="13"/>
              <w:numPr>
                <w:ilvl w:val="0"/>
                <w:numId w:val="1"/>
              </w:numPr>
              <w:ind w:left="430"/>
              <w:jc w:val="both"/>
              <w:rPr>
                <w:lang w:val="pl-PL"/>
              </w:rPr>
            </w:pPr>
            <w:r>
              <w:t>Регламент Комісії (ЄС) № 2015/1163 від 15 липня 2015 року стосовно переліку первинних груп для визначення паритетів купівельної спроможності</w:t>
            </w:r>
          </w:p>
          <w:p>
            <w:pPr>
              <w:ind w:left="70"/>
              <w:jc w:val="both"/>
              <w:rPr>
                <w:lang w:val="en-US"/>
              </w:rPr>
            </w:pPr>
            <w:r>
              <w:t>(https://eur-lex.europa.eu/legal-content/AUTO/?uri=CELEX:32015R1163&amp;qid=1703152284565&amp;rid=1</w:t>
            </w:r>
            <w:r>
              <w:rPr>
                <w:lang w:val="en-US"/>
              </w:rPr>
              <w:t>).</w:t>
            </w:r>
          </w:p>
          <w:p>
            <w:pPr>
              <w:ind w:firstLine="459"/>
              <w:jc w:val="both"/>
            </w:pPr>
            <w:r>
              <w:t>Національний рівень:</w:t>
            </w:r>
          </w:p>
          <w:p>
            <w:pPr>
              <w:ind w:left="70"/>
              <w:jc w:val="both"/>
            </w:pPr>
            <w:r>
              <w:t>План державних статистичних спостережень на відповідний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S.6.2. Обмін інформацією</w:t>
            </w:r>
          </w:p>
        </w:tc>
        <w:tc>
          <w:tcPr>
            <w:tcW w:w="8221" w:type="dxa"/>
            <w:shd w:val="clear" w:color="auto" w:fill="auto"/>
          </w:tcPr>
          <w:p>
            <w:pPr>
              <w:ind w:firstLine="430"/>
              <w:jc w:val="both"/>
            </w:pPr>
            <w:r>
              <w:t>Угода про інформаційне співробітництво між Державною службою статистики України і Національною комісією, що здійснює державне регулювання у сферах енергетики та комунальних послуг від 23.11.2022.</w:t>
            </w:r>
          </w:p>
          <w:p>
            <w:pPr>
              <w:ind w:firstLine="430"/>
              <w:jc w:val="both"/>
              <w:rPr>
                <w:lang w:val="pl-PL"/>
              </w:rPr>
            </w:pPr>
            <w:r>
              <w:rPr>
                <w:rFonts w:ascii="TimesNewRomanPSMT" w:hAnsi="TimesNewRomanPSMT" w:cs="TimesNewRomanPSMT" w:eastAsiaTheme="minorHAnsi"/>
                <w:lang w:eastAsia="en-US"/>
              </w:rPr>
              <w:t xml:space="preserve">Дані ДСС використовуються статистикою національних рахунків.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S.7. Конфіденційність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S.7.1. Конфіденційність ‒ політика</w:t>
            </w:r>
          </w:p>
        </w:tc>
        <w:tc>
          <w:tcPr>
            <w:tcW w:w="8221" w:type="dxa"/>
            <w:shd w:val="clear" w:color="auto" w:fill="auto"/>
          </w:tcPr>
          <w:p>
            <w:pPr>
              <w:ind w:firstLine="430"/>
              <w:jc w:val="both"/>
            </w:pPr>
            <w:r>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від 11 березня 2009 року щодо європейської статистики,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pPr>
              <w:ind w:firstLine="430"/>
              <w:jc w:val="both"/>
            </w:pPr>
            <w:r>
              <w:t>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Держстату від 30 грудня 2022 року № 434, зареєстрованим у Міністерстві юстиції України 05 квітня 2023 року за № 573/39629.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S.7.2. Конфіденційність ‒ обробка даних</w:t>
            </w:r>
          </w:p>
        </w:tc>
        <w:tc>
          <w:tcPr>
            <w:tcW w:w="8221" w:type="dxa"/>
            <w:shd w:val="clear" w:color="auto" w:fill="auto"/>
          </w:tcPr>
          <w:p>
            <w:pPr>
              <w:widowControl w:val="0"/>
              <w:autoSpaceDE w:val="0"/>
              <w:autoSpaceDN w:val="0"/>
              <w:adjustRightInd w:val="0"/>
              <w:ind w:firstLine="574"/>
              <w:jc w:val="both"/>
            </w:pPr>
            <w:r>
              <w:t xml:space="preserve">У ході проведення ДСС реалізуються такі заходи щодо забезпечення статистичної конфіденційності: </w:t>
            </w:r>
          </w:p>
          <w:p>
            <w:pPr>
              <w:widowControl w:val="0"/>
              <w:autoSpaceDE w:val="0"/>
              <w:autoSpaceDN w:val="0"/>
              <w:adjustRightInd w:val="0"/>
              <w:ind w:firstLine="574"/>
              <w:jc w:val="both"/>
            </w:pPr>
            <w:r>
              <w:t>надання статистичної інформації, отриманої за результатами ДСС, користувачам у агрегованому знеособленому вигляді;</w:t>
            </w:r>
          </w:p>
          <w:p>
            <w:pPr>
              <w:widowControl w:val="0"/>
              <w:autoSpaceDE w:val="0"/>
              <w:autoSpaceDN w:val="0"/>
              <w:adjustRightInd w:val="0"/>
              <w:ind w:firstLine="574"/>
              <w:jc w:val="both"/>
            </w:pPr>
            <w:r>
              <w:t xml:space="preserve">нерозповсюдження інформації, яка була отримана під час проведення ДСС, уключаючи адміністративні дані, якщо є загроза розкриття первинних даних; </w:t>
            </w:r>
          </w:p>
          <w:p>
            <w:pPr>
              <w:widowControl w:val="0"/>
              <w:autoSpaceDE w:val="0"/>
              <w:autoSpaceDN w:val="0"/>
              <w:adjustRightInd w:val="0"/>
              <w:ind w:firstLine="574"/>
              <w:jc w:val="both"/>
            </w:pPr>
            <w:r>
              <w:t xml:space="preserve">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  </w:t>
            </w:r>
          </w:p>
          <w:p>
            <w:pPr>
              <w:widowControl w:val="0"/>
              <w:autoSpaceDE w:val="0"/>
              <w:autoSpaceDN w:val="0"/>
              <w:adjustRightInd w:val="0"/>
              <w:ind w:firstLine="574"/>
              <w:jc w:val="both"/>
            </w:pPr>
            <w:r>
              <w:t xml:space="preserve">Контроль ризику розкриття конфіденційних даних здійснюється для кожного з показників, що формуються за результатами ДСС,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та/або двох одиниць (90 і більше відсотків визначеного обсягу показника).  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S.8. Політика оприлюднення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S.8.1. Календар оприлюднення інформації</w:t>
            </w:r>
          </w:p>
        </w:tc>
        <w:tc>
          <w:tcPr>
            <w:tcW w:w="8221" w:type="dxa"/>
            <w:shd w:val="clear" w:color="auto" w:fill="auto"/>
          </w:tcPr>
          <w:p>
            <w:pPr>
              <w:ind w:firstLine="430"/>
              <w:jc w:val="both"/>
            </w:pPr>
            <w:r>
              <w:t>Держстат щорічно здійснює підготовку календаря оприлюднення інформації, який містить, зокрема, перелік та звітний період статистичних продуктів (інформації), терміни їх поширення тощо.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S.8.2. Доступ до календаря оприлюднення інформації</w:t>
            </w:r>
          </w:p>
        </w:tc>
        <w:tc>
          <w:tcPr>
            <w:tcW w:w="8221" w:type="dxa"/>
            <w:shd w:val="clear" w:color="auto" w:fill="auto"/>
          </w:tcPr>
          <w:p>
            <w:pPr>
              <w:ind w:firstLine="430"/>
              <w:jc w:val="both"/>
            </w:pPr>
            <w:r>
              <w:t>Результати ДСС оприлюднюються відповідно до календаря оприлюднення інформації.</w:t>
            </w:r>
          </w:p>
          <w:p>
            <w:pPr>
              <w:widowControl w:val="0"/>
              <w:autoSpaceDE w:val="0"/>
              <w:autoSpaceDN w:val="0"/>
              <w:adjustRightInd w:val="0"/>
              <w:ind w:firstLine="430"/>
              <w:jc w:val="both"/>
              <w:rPr>
                <w:lang w:val="pl-PL"/>
              </w:rPr>
            </w:pPr>
            <w:r>
              <w:t>Річний календар оприлюднення інформації розміщений на офіційному вебсайті Держстату (www.ukrstat.gov.ua) у розділі "Діяльність" / "Плани та графіки роботи" та розділі "Статистична інформація", щомісячний календар – на головній сторінці.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S.8.3. Доступ користувача до інформації</w:t>
            </w:r>
          </w:p>
        </w:tc>
        <w:tc>
          <w:tcPr>
            <w:tcW w:w="8221" w:type="dxa"/>
            <w:shd w:val="clear" w:color="auto" w:fill="auto"/>
          </w:tcPr>
          <w:p>
            <w:pPr>
              <w:pStyle w:val="13"/>
              <w:numPr>
                <w:ilvl w:val="0"/>
                <w:numId w:val="2"/>
              </w:numPr>
              <w:ind w:left="0" w:firstLine="430"/>
              <w:contextualSpacing/>
              <w:jc w:val="both"/>
            </w:pPr>
            <w: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S.9. Періодичність оприлюднення інформації</w:t>
            </w:r>
          </w:p>
        </w:tc>
        <w:tc>
          <w:tcPr>
            <w:tcW w:w="8221" w:type="dxa"/>
            <w:shd w:val="clear" w:color="auto" w:fill="auto"/>
          </w:tcPr>
          <w:p>
            <w:pPr>
              <w:ind w:firstLine="430"/>
              <w:jc w:val="both"/>
              <w:rPr>
                <w:bCs/>
              </w:rPr>
            </w:pPr>
            <w:r>
              <w:rPr>
                <w:bCs/>
              </w:rPr>
              <w:t>Відповідно до Методологічних положень статистична інформація за результатами цього ДСС оприлюднюватиметься щоквартально. Поряд з цим до 2022 року – щомісячно.</w:t>
            </w:r>
          </w:p>
          <w:p>
            <w:pPr>
              <w:ind w:firstLine="430"/>
              <w:jc w:val="both"/>
            </w:pPr>
            <w:r>
              <w:rPr>
                <w:bCs/>
              </w:rPr>
              <w:t>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"Діяльність"/"Плани та графіки роботи".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S.10.  Доступність і ясність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6663" w:type="dxa"/>
            <w:shd w:val="clear" w:color="auto" w:fill="auto"/>
          </w:tcPr>
          <w:p>
            <w:pPr>
              <w:widowControl w:val="0"/>
              <w:autoSpaceDE w:val="0"/>
              <w:autoSpaceDN w:val="0"/>
              <w:adjustRightInd w:val="0"/>
            </w:pPr>
            <w:r>
              <w:t>S.10.1.  Повідомлення для ЗМІ</w:t>
            </w:r>
          </w:p>
        </w:tc>
        <w:tc>
          <w:tcPr>
            <w:tcW w:w="8221" w:type="dxa"/>
            <w:shd w:val="clear" w:color="auto" w:fill="auto"/>
          </w:tcPr>
          <w:p>
            <w:pPr>
              <w:widowControl w:val="0"/>
              <w:autoSpaceDE w:val="0"/>
              <w:autoSpaceDN w:val="0"/>
              <w:adjustRightInd w:val="0"/>
              <w:ind w:firstLine="430"/>
              <w:jc w:val="both"/>
            </w:pPr>
            <w:r>
              <w:t>Експрес-випуски за результатами спостереження оприлюднюються на офіційному сайті Держстату в розділі "Експрес-випуски"/ "Демографічна та соціальна статистика"/ "Населені пункти та житло".</w:t>
            </w:r>
          </w:p>
          <w:p>
            <w:pPr>
              <w:widowControl w:val="0"/>
              <w:autoSpaceDE w:val="0"/>
              <w:autoSpaceDN w:val="0"/>
              <w:adjustRightInd w:val="0"/>
              <w:ind w:firstLine="430"/>
              <w:jc w:val="both"/>
            </w:pPr>
            <w:r>
              <w:t>Статистична інформація за результатами спостереження розміщується у вільному доступі на офіційному вебсайті Держстату в розділі "Статистична інформація/"Демографічна та соціальна статистика"/"Населені пункти та житло".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S.10.2.  Публікації</w:t>
            </w:r>
          </w:p>
        </w:tc>
        <w:tc>
          <w:tcPr>
            <w:tcW w:w="8221" w:type="dxa"/>
            <w:shd w:val="clear" w:color="auto" w:fill="auto"/>
          </w:tcPr>
          <w:p>
            <w:pPr>
              <w:widowControl w:val="0"/>
              <w:autoSpaceDE w:val="0"/>
              <w:autoSpaceDN w:val="0"/>
              <w:adjustRightInd w:val="0"/>
              <w:ind w:firstLine="430"/>
              <w:jc w:val="both"/>
            </w:pPr>
            <w:r>
              <w:t>Статистична інформація та Експрес-випуски</w:t>
            </w:r>
            <w:r>
              <w:rPr>
                <w:rStyle w:val="15"/>
              </w:rPr>
              <w:t xml:space="preserve"> за результатами спостереження до 2022 року щомісячно оприлюднювались на офіційному вебсайті Держстату в розділах "Статистична інформація"/"Демографічна та соціальна статистика"/"Населені пункти та житло" та </w:t>
            </w:r>
            <w:r>
              <w:t>"Експрес-випуски"/ "Демографічна та соціальна статистика"/ "Населені пункти та житло".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S.10.3.  База даних онлайн</w:t>
            </w:r>
          </w:p>
        </w:tc>
        <w:tc>
          <w:tcPr>
            <w:tcW w:w="8221" w:type="dxa"/>
            <w:shd w:val="clear" w:color="auto" w:fill="auto"/>
          </w:tcPr>
          <w:p>
            <w:pPr>
              <w:ind w:firstLine="430"/>
              <w:jc w:val="both"/>
            </w:pPr>
            <w:r>
              <w:t>Результати цього ДСС не формуються в онлайн</w:t>
            </w:r>
            <w:r>
              <w:rPr>
                <w:lang w:val="ru-RU"/>
              </w:rPr>
              <w:t xml:space="preserve"> </w:t>
            </w:r>
            <w:r>
              <w:t>базі статистичних даних</w:t>
            </w:r>
            <w:r>
              <w:rPr>
                <w:lang w:val="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S.10.3.1.  Таблиці даних ‒ консультації (AC1)</w:t>
            </w:r>
          </w:p>
        </w:tc>
        <w:tc>
          <w:tcPr>
            <w:tcW w:w="8221" w:type="dxa"/>
            <w:shd w:val="clear" w:color="auto" w:fill="auto"/>
          </w:tcPr>
          <w:p>
            <w:pPr>
              <w:ind w:firstLine="430"/>
              <w:jc w:val="both"/>
              <w:rPr>
                <w:lang w:val="ru-RU"/>
              </w:rPr>
            </w:pPr>
            <w:r>
              <w:t>Не розраховується через відсутність онлайн-бази статистичних даних</w:t>
            </w:r>
            <w:r>
              <w:rPr>
                <w:lang w:val="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S.10.4.  Доступ до мікроданих</w:t>
            </w:r>
          </w:p>
        </w:tc>
        <w:tc>
          <w:tcPr>
            <w:tcW w:w="8221" w:type="dxa"/>
            <w:shd w:val="clear" w:color="auto" w:fill="auto"/>
          </w:tcPr>
          <w:p>
            <w:pPr>
              <w:widowControl w:val="0"/>
              <w:autoSpaceDE w:val="0"/>
              <w:autoSpaceDN w:val="0"/>
              <w:adjustRightInd w:val="0"/>
              <w:ind w:firstLine="430"/>
              <w:jc w:val="both"/>
            </w:pPr>
            <w:r>
              <w:t>Мікродані за цим ДСС не формуються.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63" w:type="dxa"/>
            <w:shd w:val="clear" w:color="auto" w:fill="auto"/>
          </w:tcPr>
          <w:p>
            <w:pPr>
              <w:widowControl w:val="0"/>
              <w:autoSpaceDE w:val="0"/>
              <w:autoSpaceDN w:val="0"/>
              <w:adjustRightInd w:val="0"/>
            </w:pPr>
            <w:r>
              <w:t>S.10.5.  Інше</w:t>
            </w:r>
          </w:p>
        </w:tc>
        <w:tc>
          <w:tcPr>
            <w:tcW w:w="8221" w:type="dxa"/>
            <w:shd w:val="clear" w:color="auto" w:fill="auto"/>
          </w:tcPr>
          <w:p>
            <w:pPr>
              <w:widowControl w:val="0"/>
              <w:autoSpaceDE w:val="0"/>
              <w:autoSpaceDN w:val="0"/>
              <w:adjustRightInd w:val="0"/>
              <w:ind w:firstLine="430"/>
              <w:jc w:val="both"/>
            </w:pPr>
            <w:r>
              <w:t>Оприлюднення статистичних  даних за результатами спостереження здійснюється на офіційних вебсайтах територіальних органів Держстату.</w:t>
            </w:r>
          </w:p>
          <w:p>
            <w:pPr>
              <w:widowControl w:val="0"/>
              <w:autoSpaceDE w:val="0"/>
              <w:autoSpaceDN w:val="0"/>
              <w:adjustRightInd w:val="0"/>
              <w:ind w:firstLine="430"/>
              <w:jc w:val="both"/>
            </w:pPr>
            <w:r>
              <w:t>Інформація, що оприлюднюється на вебсайтах територіальних органів Держстату, узгоджена з інформацією, що оприлюднює Держстат.</w:t>
            </w:r>
          </w:p>
          <w:p>
            <w:pPr>
              <w:widowControl w:val="0"/>
              <w:autoSpaceDE w:val="0"/>
              <w:autoSpaceDN w:val="0"/>
              <w:adjustRightInd w:val="0"/>
              <w:ind w:firstLine="430"/>
              <w:jc w:val="both"/>
              <w:rPr>
                <w:sz w:val="24"/>
              </w:rPr>
            </w:pPr>
            <w:r>
              <w:t>Інформацію за результатами ДСС Держстат також надає за запитами користувачів у порядку та на умовах, визначених чинним законодавством.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S.10.5.1.  Кількість консультацій щодо метаданих (AC2)</w:t>
            </w:r>
          </w:p>
        </w:tc>
        <w:tc>
          <w:tcPr>
            <w:tcW w:w="8221" w:type="dxa"/>
            <w:shd w:val="clear" w:color="auto" w:fill="auto"/>
          </w:tcPr>
          <w:p>
            <w:pPr>
              <w:ind w:firstLine="430"/>
              <w:jc w:val="both"/>
            </w:pPr>
            <w:r>
              <w:t>Не розраховується через відсутність онлайн-бази статистичних даних.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S.10.6.  Документація з методології</w:t>
            </w:r>
          </w:p>
        </w:tc>
        <w:tc>
          <w:tcPr>
            <w:tcW w:w="8221" w:type="dxa"/>
            <w:shd w:val="clear" w:color="auto" w:fill="auto"/>
          </w:tcPr>
          <w:p>
            <w:pPr>
              <w:ind w:firstLine="430"/>
              <w:jc w:val="both"/>
              <w:rPr>
                <w:lang w:val="ru-RU"/>
              </w:rPr>
            </w:pPr>
            <w:r>
              <w:t>Методологічні положення державного статистичного спостереження щодо оплати населенням житлово-комунальних послуг, затверджені наказом Держстату від 09.05.2022 № 80, зі змінами, затвердженими наказом Держстату від 22.12.2022 № 348</w:t>
            </w:r>
            <w:r>
              <w:rPr>
                <w:lang w:val="ru-RU"/>
              </w:rPr>
              <w:t>.</w:t>
            </w:r>
          </w:p>
          <w:p>
            <w:pPr>
              <w:widowControl w:val="0"/>
              <w:autoSpaceDE w:val="0"/>
              <w:autoSpaceDN w:val="0"/>
              <w:adjustRightInd w:val="0"/>
              <w:ind w:firstLine="430"/>
              <w:jc w:val="both"/>
            </w:pPr>
            <w:r>
              <w:t>Зазначений документ розміщений на офіційному вебсайті Держстату www.ukrstat.gov.ua у розділі "Методологія та класифікатори"/"Статистична методологія"/"Демографічна та соціальна статистика</w:t>
            </w:r>
            <w:r>
              <w:rPr>
                <w:lang w:val="ru-RU"/>
              </w:rPr>
              <w:t>"</w:t>
            </w:r>
            <w:r>
              <w:t>/</w:t>
            </w:r>
            <w:r>
              <w:rPr>
                <w:lang w:val="ru-RU"/>
              </w:rPr>
              <w:t>"</w:t>
            </w:r>
            <w:r>
              <w:t>Населені пункти та житло".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S.10.6.1.  Рівень повноти метаданих (AC3)</w:t>
            </w:r>
          </w:p>
        </w:tc>
        <w:tc>
          <w:tcPr>
            <w:tcW w:w="8221" w:type="dxa"/>
            <w:shd w:val="clear" w:color="auto" w:fill="auto"/>
          </w:tcPr>
          <w:p>
            <w:pPr>
              <w:ind w:firstLine="349"/>
              <w:jc w:val="both"/>
            </w:pPr>
            <w:r>
              <w:t>1.</w:t>
            </w:r>
            <w:r>
              <w:rPr>
                <w:lang w:val="en-US"/>
              </w:rPr>
              <w:t> </w:t>
            </w:r>
            <w:r>
              <w:t xml:space="preserve">Рівень повноти представлення метаданих щодо оприлюднення інформації становить </w:t>
            </w:r>
            <w:r>
              <w:rPr>
                <w:lang w:val="ru-RU"/>
              </w:rPr>
              <w:t>94</w:t>
            </w:r>
            <w:r>
              <w:t xml:space="preserve">%: </w:t>
            </w:r>
          </w:p>
          <w:p>
            <w:pPr>
              <w:ind w:firstLine="454"/>
              <w:jc w:val="both"/>
            </w:pPr>
            <w:r>
              <w:t xml:space="preserve">AC3 = </w:t>
            </w:r>
            <w:r>
              <w:rPr>
                <w:lang w:val="ru-RU"/>
              </w:rPr>
              <w:t>17</w:t>
            </w:r>
            <w:r>
              <w:t>/18=0,</w:t>
            </w:r>
            <w:r>
              <w:rPr>
                <w:lang w:val="ru-RU"/>
              </w:rPr>
              <w:t>94</w:t>
            </w:r>
            <w:r>
              <w:t xml:space="preserve">. </w:t>
            </w:r>
          </w:p>
          <w:p>
            <w:pPr>
              <w:ind w:firstLine="349"/>
              <w:jc w:val="both"/>
            </w:pPr>
            <w:r>
              <w:t xml:space="preserve">2. Рівень повноти представлення метаданих щодо обробки становить </w:t>
            </w:r>
            <w:r>
              <w:rPr>
                <w:lang w:val="ru-RU"/>
              </w:rPr>
              <w:t>67</w:t>
            </w:r>
            <w:r>
              <w:t xml:space="preserve">%: </w:t>
            </w:r>
          </w:p>
          <w:p>
            <w:pPr>
              <w:ind w:firstLine="459"/>
              <w:jc w:val="both"/>
            </w:pPr>
            <w:r>
              <w:t xml:space="preserve">AC3 = </w:t>
            </w:r>
            <w:r>
              <w:rPr>
                <w:lang w:val="ru-RU"/>
              </w:rPr>
              <w:t>10</w:t>
            </w:r>
            <w:r>
              <w:t>/15 =  0,</w:t>
            </w:r>
            <w:r>
              <w:rPr>
                <w:lang w:val="ru-RU"/>
              </w:rPr>
              <w:t>67</w:t>
            </w:r>
            <w:r>
              <w:t xml:space="preserve">. </w:t>
            </w:r>
          </w:p>
          <w:p>
            <w:pPr>
              <w:ind w:firstLine="349"/>
              <w:jc w:val="both"/>
            </w:pPr>
            <w:r>
              <w:t>3. Рівень повноти представлення метаданих щодо якості становить 67%:</w:t>
            </w:r>
          </w:p>
          <w:p>
            <w:pPr>
              <w:ind w:firstLine="454"/>
              <w:jc w:val="both"/>
            </w:pPr>
            <w:r>
              <w:t xml:space="preserve">AC3 = </w:t>
            </w:r>
            <w:r>
              <w:rPr>
                <w:lang w:val="en-US"/>
              </w:rPr>
              <w:t>2</w:t>
            </w:r>
            <w:r>
              <w:t xml:space="preserve">9/43= 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S.10.7.  Документація з якості</w:t>
            </w:r>
          </w:p>
        </w:tc>
        <w:tc>
          <w:tcPr>
            <w:tcW w:w="8221" w:type="dxa"/>
            <w:shd w:val="clear" w:color="auto" w:fill="auto"/>
          </w:tcPr>
          <w:p>
            <w:pPr>
              <w:ind w:firstLine="430"/>
              <w:jc w:val="both"/>
            </w:pPr>
            <w: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r>
              <w:fldChar w:fldCharType="begin"/>
            </w:r>
            <w:r>
              <w:instrText xml:space="preserve"> HYPERLINK "http://www.ukrstat.gov.ua" </w:instrText>
            </w:r>
            <w:r>
              <w:fldChar w:fldCharType="separate"/>
            </w:r>
            <w:r>
              <w:rPr>
                <w:rStyle w:val="11"/>
                <w:color w:val="auto"/>
                <w:u w:val="none"/>
              </w:rPr>
              <w:t>www.ukrstat.gov.ua</w:t>
            </w:r>
            <w:r>
              <w:rPr>
                <w:rStyle w:val="11"/>
                <w:color w:val="auto"/>
                <w:u w:val="none"/>
              </w:rPr>
              <w:fldChar w:fldCharType="end"/>
            </w:r>
            <w:r>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за № 74/39130 (зі змінами).</w:t>
            </w:r>
          </w:p>
          <w:p>
            <w:pPr>
              <w:widowControl w:val="0"/>
              <w:autoSpaceDE w:val="0"/>
              <w:autoSpaceDN w:val="0"/>
              <w:adjustRightInd w:val="0"/>
              <w:ind w:firstLine="430"/>
              <w:jc w:val="both"/>
            </w:pPr>
            <w:r>
              <w:t>За цим спостереженням складалися стандартні звіти з якості у 2016 та 2020 роках, які розміщені на офіційному сайті Держстату у розділі "Діяльність"/"Статистичні спостереження"/"Звіти з якості"/"Демографічна та соціальна статистика"/"Населені пункти та житло".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S.11.  Управління якістю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S.11.1.  Забезпечення якості</w:t>
            </w:r>
          </w:p>
        </w:tc>
        <w:tc>
          <w:tcPr>
            <w:tcW w:w="8221" w:type="dxa"/>
            <w:shd w:val="clear" w:color="auto" w:fill="auto"/>
          </w:tcPr>
          <w:p>
            <w:pPr>
              <w:ind w:firstLine="430"/>
              <w:jc w:val="both"/>
            </w:pPr>
            <w:r>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 Кодексу практики європейської статистики.</w:t>
            </w:r>
          </w:p>
          <w:p>
            <w:pPr>
              <w:widowControl w:val="0"/>
              <w:autoSpaceDE w:val="0"/>
              <w:autoSpaceDN w:val="0"/>
              <w:adjustRightInd w:val="0"/>
              <w:ind w:firstLine="430"/>
              <w:jc w:val="both"/>
            </w:pPr>
            <w:r>
              <w:t>Усі етапи проведення ДСС повністю відповідають Політиці з якості в органах державної статистики.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S.11.2.  Оцінка якості</w:t>
            </w:r>
          </w:p>
        </w:tc>
        <w:tc>
          <w:tcPr>
            <w:tcW w:w="8221" w:type="dxa"/>
            <w:shd w:val="clear" w:color="auto" w:fill="auto"/>
          </w:tcPr>
          <w:p>
            <w:pPr>
              <w:widowControl w:val="0"/>
              <w:autoSpaceDE w:val="0"/>
              <w:autoSpaceDN w:val="0"/>
              <w:adjustRightInd w:val="0"/>
              <w:ind w:firstLine="430"/>
              <w:jc w:val="both"/>
            </w:pPr>
            <w:r>
              <w:t>ДСС проводиться з урахуванням Національної моделі діяльності органів державної статистики:</w:t>
            </w:r>
          </w:p>
          <w:p>
            <w:pPr>
              <w:widowControl w:val="0"/>
              <w:autoSpaceDE w:val="0"/>
              <w:autoSpaceDN w:val="0"/>
              <w:adjustRightInd w:val="0"/>
              <w:ind w:firstLine="430"/>
              <w:jc w:val="both"/>
            </w:pPr>
            <w:r>
              <w:t>https://ukrstat.gov.ua/norm_doc/dok/onmd_ODS.pdf.</w:t>
            </w:r>
          </w:p>
          <w:p>
            <w:pPr>
              <w:widowControl w:val="0"/>
              <w:autoSpaceDE w:val="0"/>
              <w:autoSpaceDN w:val="0"/>
              <w:adjustRightInd w:val="0"/>
              <w:ind w:firstLine="430"/>
              <w:jc w:val="both"/>
            </w:pPr>
            <w:r>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 Відповідно до результатів проведеного у 201</w:t>
            </w:r>
            <w:r>
              <w:rPr>
                <w:lang w:val="ru-RU"/>
              </w:rPr>
              <w:t>9</w:t>
            </w:r>
            <w:r>
              <w:t xml:space="preserve"> році анкетного опитування користувачів від 70% до 82% користувачів дали оцінку "Відмінно" та "Добре" за всіма критеріями якості даних щодо показників з тематики опитування. При цьому найбільш важливим критерієм якості статистичної інформації користувачі визначили "Точність/Надійність", на другому місці ‒ "Своєчасність та Пунктуальність", на третьому ‒  "Відповідність/Релевантність".</w:t>
            </w:r>
          </w:p>
          <w:p>
            <w:pPr>
              <w:widowControl w:val="0"/>
              <w:autoSpaceDE w:val="0"/>
              <w:autoSpaceDN w:val="0"/>
              <w:adjustRightInd w:val="0"/>
              <w:ind w:firstLine="430"/>
              <w:jc w:val="both"/>
            </w:pPr>
            <w:r>
              <w:t>За цим ДСС були складені стандартні звіт з якості у 2016 та 2020 роках, які оприлюднені на офіційному вебсайті Держстату у розділі "Діяльність"/"Статистичні спостереження"/"Звіти з якості"/"Демографічна та соціальна статистика"/"Населені пункти та житло".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4884" w:type="dxa"/>
            <w:gridSpan w:val="2"/>
            <w:shd w:val="clear" w:color="auto" w:fill="auto"/>
          </w:tcPr>
          <w:p>
            <w:pPr>
              <w:widowControl w:val="0"/>
              <w:autoSpaceDE w:val="0"/>
              <w:autoSpaceDN w:val="0"/>
              <w:adjustRightInd w:val="0"/>
            </w:pPr>
            <w:r>
              <w:t xml:space="preserve">S.12.  </w:t>
            </w:r>
            <w:r>
              <w:rPr>
                <w:szCs w:val="20"/>
                <w:lang w:eastAsia="ru-RU"/>
              </w:rPr>
              <w:t>Актуальність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S.12.1. Потреби користувачів  </w:t>
            </w:r>
          </w:p>
        </w:tc>
        <w:tc>
          <w:tcPr>
            <w:tcW w:w="8221" w:type="dxa"/>
            <w:shd w:val="clear" w:color="auto" w:fill="auto"/>
          </w:tcPr>
          <w:p>
            <w:pPr>
              <w:widowControl w:val="0"/>
              <w:autoSpaceDE w:val="0"/>
              <w:autoSpaceDN w:val="0"/>
              <w:adjustRightInd w:val="0"/>
              <w:ind w:firstLine="430"/>
              <w:jc w:val="both"/>
            </w:pPr>
            <w:r>
              <w:t>Користувачами даних ДСС можуть бути органи державної влади та місцевого самоврядування, бізнес (підприємства, установи та організації), науковці та дослідники, засоби масової інформації, міжнародні організації, фізичні особи.</w:t>
            </w:r>
          </w:p>
          <w:p>
            <w:pPr>
              <w:ind w:left="-108" w:firstLine="538"/>
              <w:jc w:val="both"/>
            </w:pPr>
            <w:r>
              <w:t>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https://www.ukrstat.gov.ua/anketa/2019/povid/povid_shkcha.htm</w:t>
            </w:r>
            <w:r>
              <w:rPr>
                <w:highlight w:val="gre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S.12.2. Задоволення користувачів</w:t>
            </w:r>
          </w:p>
        </w:tc>
        <w:tc>
          <w:tcPr>
            <w:tcW w:w="8221" w:type="dxa"/>
            <w:shd w:val="clear" w:color="auto" w:fill="auto"/>
          </w:tcPr>
          <w:p>
            <w:pPr>
              <w:widowControl w:val="0"/>
              <w:ind w:right="-1" w:firstLine="459"/>
              <w:jc w:val="both"/>
              <w:outlineLvl w:val="3"/>
              <w:rPr>
                <w:rFonts w:eastAsiaTheme="minorHAnsi"/>
                <w:lang w:eastAsia="en-US"/>
              </w:rPr>
            </w:pPr>
            <w:r>
              <w:rPr>
                <w:rFonts w:eastAsiaTheme="minorHAnsi"/>
                <w:lang w:eastAsia="en-US"/>
              </w:rPr>
              <w:t>Держстат розраховує індекс задоволеності користувачів статистичної інформації, який у 2022 році склав 84,3 %, у 2021 році – 88,7%.</w:t>
            </w:r>
          </w:p>
          <w:p>
            <w:pPr>
              <w:ind w:firstLine="459"/>
              <w:jc w:val="both"/>
            </w:pPr>
            <w:r>
              <w:rPr>
                <w:lang w:val="ru-RU"/>
              </w:rPr>
              <w:t xml:space="preserve">У 2019 році </w:t>
            </w:r>
            <w:r>
              <w:t>Держстат провів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 щодо оплати населенням житлово-комунальних послуг.</w:t>
            </w:r>
          </w:p>
          <w:p>
            <w:pPr>
              <w:ind w:firstLine="459"/>
              <w:jc w:val="both"/>
            </w:pPr>
            <w:r>
              <w:t>Основні висновки за результатами анкетного опитування:</w:t>
            </w:r>
          </w:p>
          <w:p>
            <w:pPr>
              <w:ind w:firstLine="459"/>
              <w:jc w:val="both"/>
            </w:pPr>
            <w:r>
              <w:t>50% опитаних зазначили, що статистична інформація з тематики опитування є основною або важливою складовою їхньої діяльності;</w:t>
            </w:r>
          </w:p>
          <w:p>
            <w:pPr>
              <w:ind w:firstLine="459"/>
              <w:jc w:val="both"/>
            </w:pPr>
            <w:r>
              <w:t>48% користувачів використовують статистичну інформацію для аналізу та прогнозування соціально-економічного розвитку країни або регіону; для моніторингу виконання загальнодержавних і регіональних програм розвитку, здійснення міжнародних порівнянь – 33%, для розробки концепцій, програм, законодавчих та нормативно-правових актів, інших документів – 11%; для наукових досліджень – 4%;</w:t>
            </w:r>
          </w:p>
          <w:p>
            <w:pPr>
              <w:ind w:firstLine="459"/>
              <w:jc w:val="both"/>
            </w:pPr>
            <w:r>
              <w:t>82% опитаних на "Відмінно" та "Добре" оцінили інформаційне забезпечення користувачів з тематики опитування.</w:t>
            </w:r>
          </w:p>
          <w:p>
            <w:pPr>
              <w:ind w:firstLine="459"/>
              <w:jc w:val="both"/>
            </w:pPr>
            <w:r>
              <w:t>Інформацію щодо проведення анкетних опитувань користувачів статистичної інформації наведено також у пункті розділу S.11.2.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S.12.3. Рівень релевантності інформації (R1(U))</w:t>
            </w:r>
          </w:p>
        </w:tc>
        <w:tc>
          <w:tcPr>
            <w:tcW w:w="8221" w:type="dxa"/>
            <w:shd w:val="clear" w:color="auto" w:fill="auto"/>
          </w:tcPr>
          <w:p>
            <w:pPr>
              <w:ind w:firstLine="459"/>
              <w:jc w:val="both"/>
              <w:rPr>
                <w:rStyle w:val="15"/>
              </w:rPr>
            </w:pPr>
            <w:r>
              <w:rPr>
                <w:spacing w:val="-1"/>
              </w:rPr>
              <w:t>Інформація цього спостереження надається до 2022 року у повному обсязі відповідно до плану державних статистичних спостережень, затвердженого</w:t>
            </w:r>
            <w:r>
              <w:rPr>
                <w:spacing w:val="-1"/>
                <w:lang w:val="ru-RU"/>
              </w:rPr>
              <w:t xml:space="preserve"> </w:t>
            </w:r>
            <w:r>
              <w:rPr>
                <w:spacing w:val="-1"/>
              </w:rPr>
              <w:t>Кабінетом Міністрів України</w:t>
            </w:r>
            <w:r>
              <w:rPr>
                <w:rStyle w:val="15"/>
              </w:rPr>
              <w:t xml:space="preserve">. </w:t>
            </w:r>
          </w:p>
          <w:p>
            <w:pPr>
              <w:ind w:firstLine="459"/>
              <w:jc w:val="both"/>
            </w:pPr>
            <w:r>
              <w:t>R1(U)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S.12.3.1. Рівень повноти інформації (R1(Р))</w:t>
            </w:r>
          </w:p>
        </w:tc>
        <w:tc>
          <w:tcPr>
            <w:tcW w:w="8221" w:type="dxa"/>
            <w:shd w:val="clear" w:color="auto" w:fill="auto"/>
          </w:tcPr>
          <w:p>
            <w:pPr>
              <w:ind w:firstLine="434"/>
              <w:jc w:val="both"/>
            </w:pPr>
            <w:r>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w:t>
            </w:r>
          </w:p>
          <w:p>
            <w:pPr>
              <w:ind w:firstLine="434"/>
              <w:jc w:val="both"/>
            </w:pPr>
            <w:r>
              <w:t>Рівень повноти статистичної інформації за грудень 2021 року, за показниками, що поширюється за результатами цього ДСС відповідно до плану ДСС, складає:</w:t>
            </w:r>
          </w:p>
          <w:p>
            <w:pPr>
              <w:widowControl w:val="0"/>
              <w:autoSpaceDE w:val="0"/>
              <w:autoSpaceDN w:val="0"/>
              <w:adjustRightInd w:val="0"/>
              <w:ind w:firstLine="434"/>
              <w:jc w:val="both"/>
            </w:pPr>
            <w:r>
              <w:t xml:space="preserve">R1(Р) = </w:t>
            </w:r>
            <w:r>
              <w:rPr>
                <w:color w:val="000000" w:themeColor="text1"/>
                <w14:textFill>
                  <w14:solidFill>
                    <w14:schemeClr w14:val="tx1"/>
                  </w14:solidFill>
                </w14:textFill>
              </w:rPr>
              <w:t>461/468</w:t>
            </w:r>
            <w:r>
              <w:t xml:space="preserve">=0,985.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S.13.  Точність і надійність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S.13.1.  Загальна точність</w:t>
            </w:r>
          </w:p>
        </w:tc>
        <w:tc>
          <w:tcPr>
            <w:tcW w:w="8221" w:type="dxa"/>
            <w:shd w:val="clear" w:color="auto" w:fill="auto"/>
          </w:tcPr>
          <w:p>
            <w:pPr>
              <w:ind w:firstLine="430"/>
              <w:jc w:val="both"/>
            </w:pPr>
            <w:r>
              <w:t>Для проведення ДСС використовується комбінація статистичних методів, а саме: проведення несуцільного обстеження безпосередньо одиниць статистичного спостереження методом відбору за критеріями, використання адміністративних даних та результатів проведення іншого ДСС.</w:t>
            </w:r>
          </w:p>
          <w:p>
            <w:pPr>
              <w:ind w:firstLine="430"/>
              <w:jc w:val="both"/>
            </w:pPr>
            <w:r>
              <w:t xml:space="preserve">Відповідно до Методологічних положень обробка даних ДСС складається із опрацювання стандартних процедур щодо  даних, отриманих від респондентів, які введено/завантажено до електронного середовища (у тому числі кодування даних, контроль повноти їх уведення, перевірка правильності співвідношення окремих значень показників, порівняння значень показників у динаміці (із застосуванням методів поєднання даних, групування, кодування, мікроредагування), Здійснюється аналіз рівня відповідей респондентів порівняно з його очікуваним значенням. У разі виявлення неузгодженостей може здійснюватися зв’язок з респондентами і відповідне редагування інформації. </w:t>
            </w:r>
          </w:p>
          <w:p>
            <w:pPr>
              <w:ind w:firstLine="430"/>
              <w:jc w:val="both"/>
            </w:pPr>
            <w:r>
              <w:t>Статистичні методи, що дозволяють компенсувати інформацію, відсутню через відмову респондентів надати інформацію, не застосовуються.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S.13.2.  Похибки вибірки (A1 (U))</w:t>
            </w:r>
          </w:p>
        </w:tc>
        <w:tc>
          <w:tcPr>
            <w:tcW w:w="8221" w:type="dxa"/>
            <w:shd w:val="clear" w:color="auto" w:fill="auto"/>
          </w:tcPr>
          <w:p>
            <w:pPr>
              <w:autoSpaceDE w:val="0"/>
              <w:autoSpaceDN w:val="0"/>
              <w:adjustRightInd w:val="0"/>
              <w:ind w:firstLine="454"/>
              <w:jc w:val="both"/>
            </w:pPr>
            <w:r>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S.13.2.1.  Похибки вибірки (A1(P))</w:t>
            </w:r>
          </w:p>
        </w:tc>
        <w:tc>
          <w:tcPr>
            <w:tcW w:w="8221" w:type="dxa"/>
            <w:shd w:val="clear" w:color="auto" w:fill="auto"/>
          </w:tcPr>
          <w:p>
            <w:pPr>
              <w:ind w:firstLine="430"/>
              <w:jc w:val="both"/>
            </w:pPr>
            <w:r>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S.13.3. Похибки, що не стосуються вибірки та A4.  Невідповіді одиниць і рівень невідповідей одиниць (A5)</w:t>
            </w:r>
          </w:p>
        </w:tc>
        <w:tc>
          <w:tcPr>
            <w:tcW w:w="8221" w:type="dxa"/>
            <w:shd w:val="clear" w:color="auto" w:fill="auto"/>
          </w:tcPr>
          <w:p>
            <w:pPr>
              <w:widowControl w:val="0"/>
              <w:tabs>
                <w:tab w:val="left" w:pos="455"/>
              </w:tabs>
              <w:ind w:right="-1" w:firstLine="459"/>
              <w:jc w:val="both"/>
              <w:outlineLvl w:val="3"/>
            </w:pPr>
            <w:r>
              <w:t>В межах ДСС присутні похибки охоплення, вимірювання,  обробки тощо.</w:t>
            </w:r>
          </w:p>
          <w:p>
            <w:pPr>
              <w:ind w:firstLine="430"/>
              <w:jc w:val="both"/>
              <w:rPr>
                <w:rFonts w:ascii="TimesNewRomanPSMT" w:hAnsi="TimesNewRomanPSMT" w:cs="TimesNewRomanPSMT" w:eastAsiaTheme="minorHAnsi"/>
                <w:lang w:eastAsia="en-US"/>
              </w:rPr>
            </w:pPr>
            <w:r>
              <w:rPr>
                <w:rFonts w:ascii="TimesNewRomanPSMT" w:hAnsi="TimesNewRomanPSMT" w:cs="TimesNewRomanPSMT" w:eastAsiaTheme="minorHAnsi"/>
                <w:lang w:eastAsia="en-US"/>
              </w:rPr>
              <w:t>Рівень невідповідей за формою № 1-заборгованість (ЖКГ) (місячна) в середньому за 2021 рік становив 12,22 %.</w:t>
            </w:r>
          </w:p>
          <w:p>
            <w:pPr>
              <w:ind w:firstLine="430"/>
              <w:jc w:val="both"/>
              <w:rPr>
                <w:rFonts w:ascii="TimesNewRomanPSMT" w:hAnsi="TimesNewRomanPSMT" w:cs="TimesNewRomanPSMT" w:eastAsiaTheme="minorHAnsi"/>
                <w:lang w:eastAsia="en-US"/>
              </w:rPr>
            </w:pPr>
            <w:r>
              <w:rPr>
                <w:rFonts w:ascii="TimesNewRomanPSMT" w:hAnsi="TimesNewRomanPSMT" w:cs="TimesNewRomanPSMT" w:eastAsiaTheme="minorHAnsi"/>
                <w:lang w:eastAsia="en-US"/>
              </w:rPr>
              <w:t xml:space="preserve">Рівень невідповідей одиниць (в умовах дії воєнного стану) за формою № 1-заборгованість (ЖКГ) (квартальна) за звітні </w:t>
            </w:r>
            <w:r>
              <w:rPr>
                <w:rFonts w:ascii="TimesNewRomanPSMT" w:hAnsi="TimesNewRomanPSMT" w:cs="TimesNewRomanPSMT" w:eastAsiaTheme="minorHAnsi"/>
                <w:lang w:val="ru-RU" w:eastAsia="en-US"/>
              </w:rPr>
              <w:t xml:space="preserve">                       </w:t>
            </w:r>
            <w:r>
              <w:rPr>
                <w:rFonts w:ascii="TimesNewRomanPSMT" w:hAnsi="TimesNewRomanPSMT" w:cs="TimesNewRomanPSMT" w:eastAsiaTheme="minorHAnsi"/>
                <w:lang w:eastAsia="en-US"/>
              </w:rPr>
              <w:t>І-</w:t>
            </w:r>
            <w:r>
              <w:rPr>
                <w:rFonts w:ascii="TimesNewRomanPSMT" w:hAnsi="TimesNewRomanPSMT" w:cs="TimesNewRomanPSMT" w:eastAsiaTheme="minorHAnsi"/>
                <w:lang w:val="en-US" w:eastAsia="en-US"/>
              </w:rPr>
              <w:t>IV</w:t>
            </w:r>
            <w:r>
              <w:rPr>
                <w:rFonts w:ascii="TimesNewRomanPSMT" w:hAnsi="TimesNewRomanPSMT" w:cs="TimesNewRomanPSMT" w:eastAsiaTheme="minorHAnsi"/>
                <w:lang w:eastAsia="en-US"/>
              </w:rPr>
              <w:t xml:space="preserve"> квартали 2022 та </w:t>
            </w:r>
            <w:r>
              <w:rPr>
                <w:rFonts w:ascii="TimesNewRomanPSMT" w:hAnsi="TimesNewRomanPSMT" w:cs="TimesNewRomanPSMT" w:eastAsiaTheme="minorHAnsi"/>
                <w:lang w:val="en-US" w:eastAsia="en-US"/>
              </w:rPr>
              <w:t>I</w:t>
            </w:r>
            <w:r>
              <w:rPr>
                <w:rFonts w:ascii="TimesNewRomanPSMT" w:hAnsi="TimesNewRomanPSMT" w:cs="TimesNewRomanPSMT" w:eastAsiaTheme="minorHAnsi"/>
                <w:lang w:val="ru-RU" w:eastAsia="en-US"/>
              </w:rPr>
              <w:t>-</w:t>
            </w:r>
            <w:r>
              <w:rPr>
                <w:rFonts w:ascii="TimesNewRomanPSMT" w:hAnsi="TimesNewRomanPSMT" w:cs="TimesNewRomanPSMT" w:eastAsiaTheme="minorHAnsi"/>
                <w:lang w:val="en-US" w:eastAsia="en-US"/>
              </w:rPr>
              <w:t>III</w:t>
            </w:r>
            <w:r>
              <w:rPr>
                <w:rFonts w:ascii="TimesNewRomanPSMT" w:hAnsi="TimesNewRomanPSMT" w:cs="TimesNewRomanPSMT" w:eastAsiaTheme="minorHAnsi"/>
                <w:lang w:eastAsia="en-US"/>
              </w:rPr>
              <w:t xml:space="preserve"> квартали 2023 року становить  в середньому 18,0% (частина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pPr>
              <w:ind w:firstLine="430"/>
              <w:jc w:val="both"/>
              <w:rPr>
                <w:strike/>
              </w:rPr>
            </w:pPr>
            <w:r>
              <w:rPr>
                <w:rFonts w:ascii="TimesNewRomanPSMT" w:hAnsi="TimesNewRomanPSMT" w:cs="TimesNewRomanPSMT" w:eastAsiaTheme="minorHAnsi"/>
                <w:lang w:eastAsia="en-US"/>
              </w:rPr>
              <w:t>Для зменшення невідповідей застосовується контроль рівня подання звітів респондентами, охопленими ДСС, аналізуються причини їх неподання.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S.13.3.1.  Похибки охоплення </w:t>
            </w:r>
          </w:p>
        </w:tc>
        <w:tc>
          <w:tcPr>
            <w:tcW w:w="8221" w:type="dxa"/>
            <w:shd w:val="clear" w:color="auto" w:fill="auto"/>
          </w:tcPr>
          <w:p>
            <w:pPr>
              <w:pStyle w:val="7"/>
              <w:ind w:firstLine="430"/>
              <w:jc w:val="both"/>
              <w:rPr>
                <w:rFonts w:ascii="TimesNewRomanPSMT" w:hAnsi="TimesNewRomanPSMT" w:cs="TimesNewRomanPSMT" w:eastAsiaTheme="minorHAnsi"/>
                <w:sz w:val="28"/>
                <w:szCs w:val="28"/>
                <w:lang w:val="en-US" w:eastAsia="en-US"/>
              </w:rPr>
            </w:pPr>
            <w:r>
              <w:rPr>
                <w:rFonts w:ascii="TimesNewRomanPSMT" w:hAnsi="TimesNewRomanPSMT" w:cs="TimesNewRomanPSMT" w:eastAsiaTheme="minorHAnsi"/>
                <w:sz w:val="28"/>
                <w:szCs w:val="28"/>
                <w:lang w:eastAsia="en-US"/>
              </w:rPr>
              <w:t>З метою уникнення недоохоплення для формування сукупності одиниць, яка вивчається при проведенні ДСС, використовуються переліки активних одиниць ДСС, незалежно від виду економічної діяльності згідно із КВЕД та включаються одиниці, що подали звіти за формою № 1-заборгованість (ЖКГ) (квартальна) (місячна до 2022 року) за І-ІІІ квартали звітного року, уключаючи тих, які подали звіти за власною ініціативою</w:t>
            </w:r>
            <w:r>
              <w:rPr>
                <w:rFonts w:ascii="TimesNewRomanPSMT" w:hAnsi="TimesNewRomanPSMT" w:cs="TimesNewRomanPSMT" w:eastAsiaTheme="minorHAnsi"/>
                <w:sz w:val="28"/>
                <w:szCs w:val="28"/>
                <w:lang w:val="en-US" w:eastAsia="en-US"/>
              </w:rPr>
              <w:t>.</w:t>
            </w:r>
          </w:p>
          <w:p>
            <w:pPr>
              <w:pStyle w:val="7"/>
              <w:ind w:firstLine="430"/>
              <w:jc w:val="both"/>
              <w:rPr>
                <w:rFonts w:ascii="TimesNewRomanPSMT" w:hAnsi="TimesNewRomanPSMT" w:cs="TimesNewRomanPSMT" w:eastAsiaTheme="minorHAnsi"/>
                <w:sz w:val="28"/>
                <w:szCs w:val="28"/>
                <w:lang w:eastAsia="en-US"/>
              </w:rPr>
            </w:pPr>
            <w:r>
              <w:rPr>
                <w:rFonts w:ascii="TimesNewRomanPSMT" w:hAnsi="TimesNewRomanPSMT" w:cs="TimesNewRomanPSMT" w:eastAsiaTheme="minorHAnsi"/>
                <w:sz w:val="28"/>
                <w:szCs w:val="28"/>
                <w:lang w:eastAsia="en-US"/>
              </w:rPr>
              <w:t>З метою уникнення надмірного охоплення до сукупності одиниць, що вивчається, не включаються:</w:t>
            </w:r>
          </w:p>
          <w:p>
            <w:pPr>
              <w:pStyle w:val="7"/>
              <w:ind w:firstLine="430"/>
              <w:jc w:val="both"/>
              <w:rPr>
                <w:rFonts w:ascii="TimesNewRomanPSMT" w:hAnsi="TimesNewRomanPSMT" w:cs="TimesNewRomanPSMT" w:eastAsiaTheme="minorHAnsi"/>
                <w:sz w:val="28"/>
                <w:szCs w:val="28"/>
                <w:lang w:eastAsia="en-US"/>
              </w:rPr>
            </w:pPr>
            <w:r>
              <w:rPr>
                <w:rFonts w:ascii="TimesNewRomanPSMT" w:hAnsi="TimesNewRomanPSMT" w:cs="TimesNewRomanPSMT" w:eastAsiaTheme="minorHAnsi"/>
                <w:sz w:val="28"/>
                <w:szCs w:val="28"/>
                <w:lang w:eastAsia="en-US"/>
              </w:rPr>
              <w:t xml:space="preserve">одиниці щодо яких упродовж звітного та попереднього років не було отримано звіти, зокрема із причин, пов’язаних із відсутністю здійснення господарської діяльності (одиниця не здійснює діяльності, що формує явище, яке спостерігається; одиниця припинена або в стадії припинення; одиниця реорганізована/в стадії реорганізації або передала виробничі фактори іншій одиниці), а також якщо за одиницю звітував інший респондент.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S.13.3.1.1. Рівень надмірного охоплення (A2)</w:t>
            </w:r>
          </w:p>
        </w:tc>
        <w:tc>
          <w:tcPr>
            <w:tcW w:w="8221" w:type="dxa"/>
            <w:shd w:val="clear" w:color="auto" w:fill="auto"/>
          </w:tcPr>
          <w:p>
            <w:pPr>
              <w:ind w:firstLine="430"/>
              <w:jc w:val="both"/>
            </w:pPr>
            <w:r>
              <w:rPr>
                <w:rFonts w:ascii="TimesNewRomanPSMT" w:hAnsi="TimesNewRomanPSMT" w:cs="TimesNewRomanPSMT" w:eastAsiaTheme="minorHAnsi"/>
                <w:lang w:eastAsia="en-US"/>
              </w:rPr>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1-заборгованість (ЖКГ) (місячна) в грудні 2021 року складає: А2 = 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S.13.3.1.2.  Частка спільних одиниць (A3) </w:t>
            </w:r>
          </w:p>
        </w:tc>
        <w:tc>
          <w:tcPr>
            <w:tcW w:w="8221" w:type="dxa"/>
            <w:shd w:val="clear" w:color="auto" w:fill="auto"/>
          </w:tcPr>
          <w:p>
            <w:pPr>
              <w:ind w:firstLine="430"/>
              <w:jc w:val="both"/>
              <w:rPr>
                <w:lang w:val="ru-RU"/>
              </w:rPr>
            </w:pPr>
            <w:r>
              <w:t xml:space="preserve">Показник не розраховується, оскільки для проведення ДСС не використовуються </w:t>
            </w:r>
            <w:r>
              <w:rPr>
                <w:rStyle w:val="15"/>
              </w:rPr>
              <w:t xml:space="preserve"> </w:t>
            </w:r>
            <w:r>
              <w:t xml:space="preserve">подібні дані, отримані із різних джерел. </w:t>
            </w:r>
            <w:r>
              <w:rPr>
                <w:rStyle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S.13.3.2. Похибки вимірювання</w:t>
            </w:r>
          </w:p>
        </w:tc>
        <w:tc>
          <w:tcPr>
            <w:tcW w:w="8221" w:type="dxa"/>
            <w:shd w:val="clear" w:color="auto" w:fill="auto"/>
          </w:tcPr>
          <w:p>
            <w:pPr>
              <w:ind w:firstLine="430"/>
              <w:jc w:val="both"/>
            </w:pPr>
            <w:r>
              <w:t>Похибки вимірювання є одиничними і суттєво не впливають на</w:t>
            </w:r>
          </w:p>
          <w:p>
            <w:pPr>
              <w:ind w:firstLine="33"/>
              <w:jc w:val="both"/>
            </w:pPr>
            <w:r>
              <w:t xml:space="preserve">точність статистичних даних (за оцінкою </w:t>
            </w:r>
            <w:r>
              <w:rPr>
                <w:rFonts w:ascii="TimesNewRomanPSMT" w:hAnsi="TimesNewRomanPSMT" w:cs="TimesNewRomanPSMT" w:eastAsiaTheme="minorHAnsi"/>
                <w:lang w:eastAsia="en-US"/>
              </w:rPr>
              <w:t>до 1 %).</w:t>
            </w:r>
          </w:p>
          <w:p>
            <w:pPr>
              <w:ind w:firstLine="430"/>
              <w:jc w:val="both"/>
            </w:pPr>
            <w:r>
              <w:t>Для запобігання уникнення похибок вимірювання здійснюється аналіз даних, що надійшли від респондентів, з попереднім періодом.</w:t>
            </w:r>
            <w:r>
              <w:rPr>
                <w:color w:val="000000"/>
              </w:rPr>
              <w:t xml:space="preserve"> У разі виявлення неузгодженостей може здійснюватися зв’язок із респондентами і відповідне редагування інформації.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S.13.3.3.   Похибки невідповідей одиниць    </w:t>
            </w:r>
          </w:p>
        </w:tc>
        <w:tc>
          <w:tcPr>
            <w:tcW w:w="8221" w:type="dxa"/>
            <w:shd w:val="clear" w:color="auto" w:fill="auto"/>
          </w:tcPr>
          <w:p>
            <w:pPr>
              <w:autoSpaceDE w:val="0"/>
              <w:autoSpaceDN w:val="0"/>
              <w:adjustRightInd w:val="0"/>
              <w:ind w:firstLine="454"/>
              <w:jc w:val="both"/>
              <w:rPr>
                <w:rStyle w:val="15"/>
              </w:rPr>
            </w:pPr>
            <w:r>
              <w:rPr>
                <w:rStyle w:val="15"/>
              </w:rPr>
              <w:t xml:space="preserve">За результатами спостереження розраховується рівень участі респондентів у ньому й аналізується основні причини їх неучасті. Так </w:t>
            </w:r>
            <w:r>
              <w:rPr>
                <w:rFonts w:ascii="TimesNewRomanPSMT" w:hAnsi="TimesNewRomanPSMT" w:cs="TimesNewRomanPSMT" w:eastAsiaTheme="minorHAnsi"/>
                <w:lang w:eastAsia="en-US"/>
              </w:rPr>
              <w:t xml:space="preserve">рівень надання звітів респондентами в середньому </w:t>
            </w:r>
            <w:r>
              <w:rPr>
                <w:rStyle w:val="15"/>
              </w:rPr>
              <w:t>за 2021 рік склав  87,8% (</w:t>
            </w:r>
            <w:r>
              <w:rPr>
                <w:rFonts w:ascii="TimesNewRomanPSMT" w:hAnsi="TimesNewRomanPSMT" w:cs="TimesNewRomanPSMT" w:eastAsiaTheme="minorHAnsi"/>
                <w:lang w:eastAsia="en-US"/>
              </w:rPr>
              <w:t>за звітні періоди 2022 та 2023 років (в умовах дії воєнного стану) в середньому становив 82,0%</w:t>
            </w:r>
            <w:r>
              <w:rPr>
                <w:rStyle w:val="15"/>
              </w:rPr>
              <w:t xml:space="preserve">)). </w:t>
            </w:r>
          </w:p>
          <w:p>
            <w:pPr>
              <w:ind w:firstLine="454"/>
              <w:jc w:val="both"/>
              <w:rPr>
                <w:rStyle w:val="15"/>
              </w:rPr>
            </w:pPr>
            <w:r>
              <w:rPr>
                <w:rStyle w:val="15"/>
              </w:rPr>
              <w:t xml:space="preserve">Діями з підвищення рівня відповідей є телефонне та електронне контактування з респондентами. </w:t>
            </w:r>
          </w:p>
          <w:p>
            <w:pPr>
              <w:ind w:firstLine="454"/>
              <w:jc w:val="both"/>
            </w:pPr>
            <w:r>
              <w:t>Імпутація, з метою компенсації неотриманої через невідповіді інформації, не застосовується.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S.13.3.3.1. Частка невідповідей одиниць (A4)</w:t>
            </w:r>
          </w:p>
        </w:tc>
        <w:tc>
          <w:tcPr>
            <w:tcW w:w="8221" w:type="dxa"/>
            <w:shd w:val="clear" w:color="auto" w:fill="auto"/>
          </w:tcPr>
          <w:p>
            <w:pPr>
              <w:ind w:firstLine="430"/>
              <w:jc w:val="both"/>
            </w:pPr>
            <w:r>
              <w:t>У статистичному спостереженні за 2021 рік було обрано 8499  респондентів, з них 7460 респондентів надали інформацію, 1039 – не прозвітували.</w:t>
            </w:r>
          </w:p>
          <w:p>
            <w:pPr>
              <w:ind w:firstLine="430"/>
              <w:jc w:val="both"/>
              <w:rPr>
                <w:lang w:val="ru-RU"/>
              </w:rPr>
            </w:pPr>
            <w:r>
              <w:rPr>
                <w:lang w:val="ru-RU"/>
              </w:rPr>
              <w:t>А4 = 1 – (7460/8499) = 0,1222.</w:t>
            </w:r>
          </w:p>
          <w:p>
            <w:pPr>
              <w:tabs>
                <w:tab w:val="left" w:pos="455"/>
              </w:tabs>
              <w:ind w:firstLine="455"/>
              <w:jc w:val="both"/>
            </w:pPr>
            <w:r>
              <w:t xml:space="preserve">12,22 % одиниць із сукупності не прозвітували. </w:t>
            </w:r>
          </w:p>
          <w:p>
            <w:pPr>
              <w:ind w:firstLine="430"/>
              <w:jc w:val="both"/>
            </w:pPr>
            <w:r>
              <w:t>Серед причин невідповідей найпоширенішими були такі:</w:t>
            </w:r>
          </w:p>
          <w:p>
            <w:pPr>
              <w:jc w:val="both"/>
            </w:pPr>
            <w:r>
              <w:t>одиниця не звітує у зв’язку з демографічними перетвореннями (37,4 %);</w:t>
            </w:r>
            <w:r>
              <w:tab/>
            </w:r>
          </w:p>
          <w:p>
            <w:pPr>
              <w:jc w:val="both"/>
            </w:pPr>
            <w:r>
              <w:t>одиниця не відповідає критеріям одиниці спостереження (14,9 %);</w:t>
            </w:r>
          </w:p>
          <w:p>
            <w:pPr>
              <w:jc w:val="both"/>
            </w:pPr>
            <w:r>
              <w:t>одиниця припинена або в стадії припинення (10,2 %).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S.13.3.3.2. Рівень невідповідей одиниць (A5)</w:t>
            </w:r>
          </w:p>
        </w:tc>
        <w:tc>
          <w:tcPr>
            <w:tcW w:w="8221" w:type="dxa"/>
            <w:shd w:val="clear" w:color="auto" w:fill="auto"/>
          </w:tcPr>
          <w:p>
            <w:pPr>
              <w:widowControl w:val="0"/>
              <w:autoSpaceDE w:val="0"/>
              <w:autoSpaceDN w:val="0"/>
              <w:adjustRightInd w:val="0"/>
              <w:ind w:firstLine="430"/>
              <w:jc w:val="both"/>
              <w:rPr>
                <w:rFonts w:ascii="TimesNewRomanPSMT" w:hAnsi="TimesNewRomanPSMT" w:cs="TimesNewRomanPSMT" w:eastAsiaTheme="minorHAnsi"/>
                <w:lang w:eastAsia="en-US"/>
              </w:rPr>
            </w:pPr>
            <w:r>
              <w:rPr>
                <w:rFonts w:ascii="TimesNewRomanPSMT" w:hAnsi="TimesNewRomanPSMT" w:cs="TimesNewRomanPSMT" w:eastAsiaTheme="minorHAnsi"/>
                <w:lang w:eastAsia="en-US"/>
              </w:rPr>
              <w:t xml:space="preserve">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у середньому </w:t>
            </w:r>
            <w:r>
              <w:t xml:space="preserve">за 2021 рік </w:t>
            </w:r>
            <w:r>
              <w:rPr>
                <w:rFonts w:ascii="TimesNewRomanPSMT" w:hAnsi="TimesNewRomanPSMT" w:cs="TimesNewRomanPSMT" w:eastAsiaTheme="minorHAnsi"/>
                <w:lang w:eastAsia="en-US"/>
              </w:rPr>
              <w:t xml:space="preserve">складав: </w:t>
            </w:r>
          </w:p>
          <w:p>
            <w:pPr>
              <w:widowControl w:val="0"/>
              <w:autoSpaceDE w:val="0"/>
              <w:autoSpaceDN w:val="0"/>
              <w:adjustRightInd w:val="0"/>
              <w:ind w:firstLine="430"/>
              <w:jc w:val="both"/>
            </w:pPr>
            <w:r>
              <w:rPr>
                <w:rFonts w:ascii="TimesNewRomanPSMT" w:hAnsi="TimesNewRomanPSMT" w:cs="TimesNewRomanPSMT" w:eastAsiaTheme="minorHAnsi"/>
                <w:lang w:eastAsia="en-US"/>
              </w:rPr>
              <w:t>А5 = 0,861 (1-1039/7460).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S.13.3.4. Похибки обробки даних</w:t>
            </w:r>
          </w:p>
        </w:tc>
        <w:tc>
          <w:tcPr>
            <w:tcW w:w="8221" w:type="dxa"/>
            <w:shd w:val="clear" w:color="auto" w:fill="auto"/>
          </w:tcPr>
          <w:p>
            <w:pPr>
              <w:ind w:firstLine="430"/>
              <w:jc w:val="both"/>
            </w:pPr>
            <w:r>
              <w:rPr>
                <w:rStyle w:val="15"/>
              </w:rPr>
              <w:t>Для запобігання похибок обробки даних передбачена система арифметичних та логічних контролів щодо повноти та правильності заповнення статистичних формулярів. Кожна процедура обробки даних супроводжується системними файлами протоколів припущених помилок для прийняття рішення щодо проведення редагування даних в разі потреби (у середньому за рік похибка обробки за оцінкою складає до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S.13.3.5. Похибки вибору моделі   </w:t>
            </w:r>
          </w:p>
        </w:tc>
        <w:tc>
          <w:tcPr>
            <w:tcW w:w="8221" w:type="dxa"/>
            <w:shd w:val="clear" w:color="auto" w:fill="auto"/>
          </w:tcPr>
          <w:p>
            <w:pPr>
              <w:widowControl w:val="0"/>
              <w:autoSpaceDE w:val="0"/>
              <w:autoSpaceDN w:val="0"/>
              <w:adjustRightInd w:val="0"/>
              <w:ind w:firstLine="430"/>
              <w:jc w:val="both"/>
            </w:pPr>
            <w:r>
              <w:rPr>
                <w:lang w:eastAsia="ru-RU"/>
              </w:rPr>
              <w:t>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періодом). Крім того, проводиться аналіз середніх величин, відносних показників структури, вивчаються тенденції.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884" w:type="dxa"/>
            <w:gridSpan w:val="2"/>
            <w:shd w:val="clear" w:color="auto" w:fill="auto"/>
          </w:tcPr>
          <w:p>
            <w:pPr>
              <w:widowControl w:val="0"/>
              <w:autoSpaceDE w:val="0"/>
              <w:autoSpaceDN w:val="0"/>
              <w:adjustRightInd w:val="0"/>
            </w:pPr>
            <w:r>
              <w:t>S.14. Своєчасність і пунктуальність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S.14.1. Своєчасність і тривалість часу до оприлюднення інформації (TP2)</w:t>
            </w:r>
          </w:p>
        </w:tc>
        <w:tc>
          <w:tcPr>
            <w:tcW w:w="8221" w:type="dxa"/>
            <w:shd w:val="clear" w:color="auto" w:fill="auto"/>
          </w:tcPr>
          <w:p>
            <w:pPr>
              <w:autoSpaceDE w:val="0"/>
              <w:autoSpaceDN w:val="0"/>
              <w:adjustRightInd w:val="0"/>
              <w:ind w:firstLine="454"/>
              <w:jc w:val="both"/>
              <w:rPr>
                <w:rFonts w:ascii="TimesNewRomanPSMT" w:hAnsi="TimesNewRomanPSMT" w:cs="TimesNewRomanPSMT" w:eastAsiaTheme="minorHAnsi"/>
                <w:lang w:eastAsia="en-US"/>
              </w:rPr>
            </w:pPr>
            <w:r>
              <w:rPr>
                <w:rFonts w:ascii="TimesNewRomanPSMT" w:hAnsi="TimesNewRomanPSMT" w:cs="TimesNewRomanPSMT" w:eastAsiaTheme="minorHAnsi"/>
                <w:lang w:eastAsia="en-US"/>
              </w:rPr>
              <w:t xml:space="preserve">Збір даних ДСС до 2022 року проводився на 25-й день місяця, наступного за звітним місяцем. </w:t>
            </w:r>
          </w:p>
          <w:p>
            <w:pPr>
              <w:autoSpaceDE w:val="0"/>
              <w:autoSpaceDN w:val="0"/>
              <w:adjustRightInd w:val="0"/>
              <w:ind w:firstLine="454"/>
              <w:jc w:val="both"/>
              <w:rPr>
                <w:rFonts w:ascii="TimesNewRomanPSMT" w:hAnsi="TimesNewRomanPSMT" w:cs="TimesNewRomanPSMT" w:eastAsiaTheme="minorHAnsi"/>
                <w:lang w:eastAsia="en-US"/>
              </w:rPr>
            </w:pPr>
            <w:r>
              <w:rPr>
                <w:rFonts w:ascii="TimesNewRomanPSMT" w:hAnsi="TimesNewRomanPSMT" w:cs="TimesNewRomanPSMT" w:eastAsiaTheme="minorHAnsi"/>
                <w:lang w:eastAsia="en-US"/>
              </w:rPr>
              <w:t>Кількість днів з останнього дня звітного періоду до останнього календарного дня оприлюднення результатів (місячних) становить:</w:t>
            </w:r>
          </w:p>
          <w:p>
            <w:pPr>
              <w:pStyle w:val="23"/>
              <w:ind w:firstLine="454"/>
              <w:jc w:val="both"/>
              <w:rPr>
                <w:rFonts w:ascii="TimesNewRomanPSMT" w:hAnsi="TimesNewRomanPSMT" w:cs="TimesNewRomanPSMT"/>
                <w:color w:val="auto"/>
                <w:sz w:val="28"/>
                <w:szCs w:val="28"/>
              </w:rPr>
            </w:pPr>
            <w:r>
              <w:rPr>
                <w:rFonts w:ascii="TimesNewRomanPSMT" w:hAnsi="TimesNewRomanPSMT" w:cs="TimesNewRomanPSMT"/>
                <w:color w:val="auto"/>
                <w:sz w:val="28"/>
                <w:szCs w:val="28"/>
              </w:rPr>
              <w:t>ТР2</w:t>
            </w:r>
            <w:r>
              <w:rPr>
                <w:rFonts w:ascii="TimesNewRomanPSMT" w:hAnsi="TimesNewRomanPSMT" w:cs="TimesNewRomanPSMT"/>
                <w:color w:val="auto"/>
                <w:sz w:val="28"/>
                <w:szCs w:val="28"/>
                <w:vertAlign w:val="subscript"/>
              </w:rPr>
              <w:t>1</w:t>
            </w:r>
            <w:r>
              <w:rPr>
                <w:rFonts w:ascii="TimesNewRomanPSMT" w:hAnsi="TimesNewRomanPSMT" w:cs="TimesNewRomanPSMT"/>
                <w:color w:val="auto"/>
                <w:sz w:val="28"/>
                <w:szCs w:val="28"/>
              </w:rPr>
              <w:t xml:space="preserve"> = 70-55 = 15 днів.</w:t>
            </w:r>
          </w:p>
          <w:p>
            <w:pPr>
              <w:autoSpaceDE w:val="0"/>
              <w:autoSpaceDN w:val="0"/>
              <w:adjustRightInd w:val="0"/>
              <w:ind w:firstLine="454"/>
              <w:jc w:val="both"/>
              <w:rPr>
                <w:rFonts w:ascii="TimesNewRomanPSMT" w:hAnsi="TimesNewRomanPSMT" w:cs="TimesNewRomanPSMT"/>
              </w:rPr>
            </w:pPr>
            <w:r>
              <w:rPr>
                <w:rFonts w:ascii="TimesNewRomanPSMT" w:hAnsi="TimesNewRomanPSMT" w:cs="TimesNewRomanPSMT" w:eastAsiaTheme="minorHAnsi"/>
                <w:lang w:eastAsia="en-US"/>
              </w:rPr>
              <w:t xml:space="preserve">Результати ДСС за формою № 1-заборгованість (ЖКГ) (квартальна) </w:t>
            </w:r>
            <w:r>
              <w:rPr>
                <w:rFonts w:ascii="TimesNewRomanPSMT" w:hAnsi="TimesNewRomanPSMT" w:cs="TimesNewRomanPSMT" w:eastAsiaTheme="minorHAnsi"/>
                <w:color w:val="000000" w:themeColor="text1"/>
                <w:lang w:eastAsia="en-US"/>
                <w14:textFill>
                  <w14:solidFill>
                    <w14:schemeClr w14:val="tx1"/>
                  </w14:solidFill>
                </w14:textFill>
              </w:rPr>
              <w:t xml:space="preserve">оприлюднюватимуться </w:t>
            </w:r>
            <w:r>
              <w:rPr>
                <w:rFonts w:ascii="TimesNewRomanPSMT" w:hAnsi="TimesNewRomanPSMT" w:cs="TimesNewRomanPSMT" w:eastAsiaTheme="minorHAnsi"/>
                <w:lang w:eastAsia="en-US"/>
              </w:rPr>
              <w:t>на 45-й день після звітного кварталу (збір даних – на 25 день після звітного кварталу).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S.14.1.1. Тривалість часу до оприлюднення попередніх результатів ДСС (TP1)</w:t>
            </w:r>
          </w:p>
        </w:tc>
        <w:tc>
          <w:tcPr>
            <w:tcW w:w="8221" w:type="dxa"/>
            <w:shd w:val="clear" w:color="auto" w:fill="auto"/>
          </w:tcPr>
          <w:p>
            <w:pPr>
              <w:ind w:firstLine="430"/>
              <w:jc w:val="both"/>
            </w:pPr>
            <w:r>
              <w:rPr>
                <w:rFonts w:ascii="TimesNewRomanPSMT" w:hAnsi="TimesNewRomanPSMT" w:cs="TimesNewRomanPSMT" w:eastAsiaTheme="minorHAnsi"/>
                <w:lang w:eastAsia="en-US"/>
              </w:rPr>
              <w:t>За цим ДСС не оприлюднюються попередні результати.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S.14.1.2. Тривалість часу до оприлюднення остаточних результатів ДСС (TP2)</w:t>
            </w:r>
          </w:p>
        </w:tc>
        <w:tc>
          <w:tcPr>
            <w:tcW w:w="8221" w:type="dxa"/>
            <w:shd w:val="clear" w:color="auto" w:fill="auto"/>
          </w:tcPr>
          <w:p>
            <w:pPr>
              <w:ind w:firstLine="430"/>
              <w:jc w:val="both"/>
            </w:pPr>
            <w:r>
              <w:rPr>
                <w:rStyle w:val="15"/>
              </w:rPr>
              <w:t>За цим ДСС поширюються тільки остаточні дані.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S.14.2. Пунктуальність і оприлюднення (TP3(U))</w:t>
            </w:r>
          </w:p>
        </w:tc>
        <w:tc>
          <w:tcPr>
            <w:tcW w:w="8221" w:type="dxa"/>
            <w:shd w:val="clear" w:color="auto" w:fill="auto"/>
          </w:tcPr>
          <w:p>
            <w:pPr>
              <w:ind w:firstLine="430"/>
              <w:jc w:val="both"/>
            </w:pPr>
            <w:r>
              <w:t xml:space="preserve">Інформація за результатами ДСС поширюється в заплановані терміни, випадків порушення термінів поширення статистичних продуктів до 2022 року включно не було. Відсоток вчасно поширеної інформації становить 100 %. </w:t>
            </w:r>
          </w:p>
          <w:p>
            <w:pPr>
              <w:ind w:firstLine="430"/>
              <w:jc w:val="both"/>
            </w:pPr>
            <w:r>
              <w:t>ТР3 (U)  = 1.</w:t>
            </w:r>
          </w:p>
          <w:p>
            <w:pPr>
              <w:autoSpaceDE w:val="0"/>
              <w:autoSpaceDN w:val="0"/>
              <w:adjustRightInd w:val="0"/>
              <w:ind w:firstLine="454"/>
              <w:jc w:val="both"/>
            </w:pPr>
            <w:r>
              <w:t xml:space="preserve">Водночас, ураховуючи ситуацію, що склалася у зв’язку з військовою агресією росії проти України за підтримки білорусі, результати спостереження за звітні періоди 2022 та 2023 років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w:t>
            </w:r>
            <w:r>
              <w:rPr>
                <w:rFonts w:ascii="TimesNewRomanPSMT" w:hAnsi="TimesNewRomanPSMT" w:cs="TimesNewRomanPSMT" w:eastAsiaTheme="minorHAnsi"/>
                <w:lang w:eastAsia="en-US"/>
              </w:rPr>
              <w:t>"</w:t>
            </w:r>
            <w:r>
              <w:t>Про захист інтересів суб’єктів подання звітності та інших документів у період дії воєнного стану або стану війни</w:t>
            </w:r>
            <w:r>
              <w:rPr>
                <w:rFonts w:ascii="TimesNewRomanPSMT" w:hAnsi="TimesNewRomanPSMT" w:cs="TimesNewRomanPSMT" w:eastAsiaTheme="minorHAnsi"/>
                <w:lang w:eastAsia="en-US"/>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S.14.2.1. Пунктуальність і оприлюднення (TP3(Р))</w:t>
            </w:r>
          </w:p>
        </w:tc>
        <w:tc>
          <w:tcPr>
            <w:tcW w:w="8221" w:type="dxa"/>
            <w:shd w:val="clear" w:color="auto" w:fill="auto"/>
          </w:tcPr>
          <w:p>
            <w:pPr>
              <w:widowControl w:val="0"/>
              <w:ind w:right="-1" w:firstLine="459"/>
              <w:jc w:val="both"/>
              <w:outlineLvl w:val="3"/>
            </w:pPr>
            <w:r>
              <w:t>Терміни поширення інформації за цим ДСС до 2021 року включно жодного разу не порушувалися. ТР3 (Р) = 0.</w:t>
            </w:r>
          </w:p>
          <w:p>
            <w:pPr>
              <w:widowControl w:val="0"/>
              <w:autoSpaceDE w:val="0"/>
              <w:autoSpaceDN w:val="0"/>
              <w:adjustRightInd w:val="0"/>
              <w:ind w:firstLine="430"/>
              <w:jc w:val="both"/>
            </w:pPr>
            <w:r>
              <w:t>Водночас, ураховуючи ситуацію, що склалася у зв’язку з військовою агресією росії проти України за підтримки білорусі, результати спостереження за звітні періоди 2022 та 2023 років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 xml:space="preserve">S.15. Узгодженість і порівнянність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S.15.1. </w:t>
            </w:r>
            <w:r>
              <w:rPr>
                <w:szCs w:val="20"/>
                <w:lang w:eastAsia="ru-RU"/>
              </w:rPr>
              <w:t>Узгодженість</w:t>
            </w:r>
            <w:r>
              <w:t xml:space="preserve"> ‒ географічна</w:t>
            </w:r>
          </w:p>
        </w:tc>
        <w:tc>
          <w:tcPr>
            <w:tcW w:w="8221" w:type="dxa"/>
            <w:shd w:val="clear" w:color="auto" w:fill="auto"/>
          </w:tcPr>
          <w:p>
            <w:pPr>
              <w:ind w:firstLine="430"/>
              <w:jc w:val="both"/>
              <w:rPr>
                <w:rStyle w:val="15"/>
              </w:rPr>
            </w:pPr>
            <w:r>
              <w:rPr>
                <w:rStyle w:val="15"/>
              </w:rPr>
              <w:t>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даних.</w:t>
            </w:r>
          </w:p>
          <w:p>
            <w:pPr>
              <w:ind w:firstLine="430"/>
              <w:jc w:val="both"/>
            </w:pPr>
            <w:r>
              <w:t>Зважаючи на зазначене, показники спостереження за певний обраний період можна порівнювати з даними попередніх періодів.</w:t>
            </w:r>
          </w:p>
          <w:p>
            <w:pPr>
              <w:ind w:firstLine="430"/>
              <w:jc w:val="both"/>
            </w:pPr>
            <w:r>
              <w:t>Інформація, що оприлюднюється на вебсайтах ТОД, узгоджена з інформацією, що оприлюднює Держстат.</w:t>
            </w:r>
          </w:p>
          <w:p>
            <w:pPr>
              <w:ind w:firstLine="430"/>
              <w:jc w:val="both"/>
            </w:pPr>
            <w:r>
              <w:t>Починаючи з 2014 року обстеженням не охоплюються тимчасово окупована територія Автономної Республіки Крим, м.Севастополя та частини тимчасово окупованих територій у Донецькій та Луганській областях.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S.15.1.1. Розмір асиметрії для дзеркальної статистики  (CC1)</w:t>
            </w:r>
          </w:p>
        </w:tc>
        <w:tc>
          <w:tcPr>
            <w:tcW w:w="8221" w:type="dxa"/>
            <w:shd w:val="clear" w:color="auto" w:fill="auto"/>
          </w:tcPr>
          <w:p>
            <w:pPr>
              <w:ind w:firstLine="430"/>
              <w:jc w:val="both"/>
            </w:pPr>
            <w:r>
              <w:rPr>
                <w:rStyle w:val="15"/>
              </w:rPr>
              <w:t>Не застосовується. Жодних вимірюваних дзеркальних потоків щодо цих статистичних даних не існує.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S.15.2. Порівнянність ‒ у часі. Довжина порівнюваних часових рядів (CC2(U))</w:t>
            </w:r>
          </w:p>
        </w:tc>
        <w:tc>
          <w:tcPr>
            <w:tcW w:w="8221" w:type="dxa"/>
            <w:shd w:val="clear" w:color="auto" w:fill="auto"/>
          </w:tcPr>
          <w:p>
            <w:pPr>
              <w:ind w:firstLine="459"/>
              <w:jc w:val="both"/>
              <w:rPr>
                <w:lang w:val="ru-RU"/>
              </w:rPr>
            </w:pPr>
            <w:r>
              <w:t>Показники цього спостереження за певний обраний період можна порівнювати з даними попереднього періоду з 1997 року.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S.15.2.1. Порівнянність. Довжина порівнюваних часових рядів (CC2 (Р))</w:t>
            </w:r>
          </w:p>
        </w:tc>
        <w:tc>
          <w:tcPr>
            <w:tcW w:w="8221" w:type="dxa"/>
            <w:shd w:val="clear" w:color="auto" w:fill="auto"/>
            <w:vAlign w:val="bottom"/>
          </w:tcPr>
          <w:p>
            <w:pPr>
              <w:ind w:firstLine="459"/>
              <w:jc w:val="both"/>
            </w:pPr>
            <w:r>
              <w:t>Статистичні показники цього спостереження (до грудня 2021 року включно) можна порівнювати з даними попереднього року з 1997 року:</w:t>
            </w:r>
          </w:p>
          <w:p>
            <w:pPr>
              <w:ind w:firstLine="742"/>
              <w:jc w:val="both"/>
            </w:pPr>
            <w:r>
              <w:t>СС2</w:t>
            </w:r>
            <w:r>
              <w:rPr>
                <w:vertAlign w:val="subscript"/>
              </w:rPr>
              <w:t>1</w:t>
            </w:r>
            <w:r>
              <w:t xml:space="preserve"> = ((20</w:t>
            </w:r>
            <w:r>
              <w:rPr>
                <w:lang w:val="en-US"/>
              </w:rPr>
              <w:t>2</w:t>
            </w:r>
            <w:r>
              <w:t>1-1997) +1)×12 =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S.15.3. Узгодженість ‒ перехресні області</w:t>
            </w:r>
          </w:p>
        </w:tc>
        <w:tc>
          <w:tcPr>
            <w:tcW w:w="8221" w:type="dxa"/>
            <w:shd w:val="clear" w:color="auto" w:fill="auto"/>
          </w:tcPr>
          <w:p>
            <w:pPr>
              <w:widowControl w:val="0"/>
              <w:autoSpaceDE w:val="0"/>
              <w:autoSpaceDN w:val="0"/>
              <w:adjustRightInd w:val="0"/>
              <w:ind w:firstLine="430"/>
              <w:jc w:val="both"/>
            </w:pPr>
            <w:r>
              <w:t>Узгодженість з показниками, отриманими з різних джерел, відсутня, оскільки дані для цього спостереження отримуються тільки з одного джерела (від респондент</w:t>
            </w:r>
            <w:r>
              <w:rPr>
                <w:lang w:val="ru-RU"/>
              </w:rPr>
              <w:t>ів</w:t>
            </w:r>
            <w:r>
              <w:t>).</w:t>
            </w:r>
          </w:p>
          <w:p>
            <w:pPr>
              <w:widowControl w:val="0"/>
              <w:autoSpaceDE w:val="0"/>
              <w:autoSpaceDN w:val="0"/>
              <w:adjustRightInd w:val="0"/>
              <w:ind w:firstLine="430"/>
              <w:jc w:val="both"/>
            </w:pPr>
            <w:r>
              <w:t>Результати ДСС не узгоджуються із показниками інших державних статистичних спостережень, оскільки в рамках проведення інших державних статистичних спостережень співставні дані з показниками цього ДСС не спостерігаються.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S.15.3.1. Узгодженість ‒ внутрішньорічна та річна статистика  </w:t>
            </w:r>
          </w:p>
        </w:tc>
        <w:tc>
          <w:tcPr>
            <w:tcW w:w="8221" w:type="dxa"/>
            <w:shd w:val="clear" w:color="auto" w:fill="auto"/>
          </w:tcPr>
          <w:p>
            <w:pPr>
              <w:autoSpaceDE w:val="0"/>
              <w:autoSpaceDN w:val="0"/>
              <w:adjustRightInd w:val="0"/>
              <w:ind w:firstLine="454"/>
              <w:jc w:val="both"/>
            </w:pPr>
            <w:r>
              <w:rPr>
                <w:rFonts w:ascii="TimesNewRomanPSMT" w:hAnsi="TimesNewRomanPSMT" w:cs="TimesNewRomanPSMT" w:eastAsiaTheme="minorHAnsi"/>
                <w:lang w:eastAsia="en-US"/>
              </w:rPr>
              <w:t>За цим ДСС щомісячні та річні дані повністю узгоджуються між 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3" w:type="dxa"/>
            <w:shd w:val="clear" w:color="auto" w:fill="auto"/>
          </w:tcPr>
          <w:p>
            <w:pPr>
              <w:widowControl w:val="0"/>
              <w:autoSpaceDE w:val="0"/>
              <w:autoSpaceDN w:val="0"/>
              <w:adjustRightInd w:val="0"/>
            </w:pPr>
            <w:r>
              <w:t>S.15.3.2. Узгодженість ‒ національні рахунки</w:t>
            </w:r>
          </w:p>
        </w:tc>
        <w:tc>
          <w:tcPr>
            <w:tcW w:w="8221" w:type="dxa"/>
            <w:shd w:val="clear" w:color="auto" w:fill="auto"/>
          </w:tcPr>
          <w:p>
            <w:pPr>
              <w:ind w:left="62" w:firstLine="368"/>
              <w:jc w:val="both"/>
              <w:rPr>
                <w:lang w:val="ru-RU"/>
              </w:rPr>
            </w:pPr>
            <w:r>
              <w:t xml:space="preserve">Державне статистичне спостереження проводиться для потреб статистики національних рахунків, з метою забезпечення розрахунку показників, передбачених Регламентом (EC) </w:t>
            </w:r>
            <w:r>
              <w:rPr>
                <w:lang w:val="ru-RU"/>
              </w:rPr>
              <w:t xml:space="preserve">                            </w:t>
            </w:r>
            <w:r>
              <w:t>№ 549/2013 Європейського Парламенту і Ради від 21.05.2013 щодо Європейської системи національних та  регіональних рахунків у Європейському Союзі у частині використання даних про суми нараховані населенню за житлово-комунальні послуги при проведенні квартальних та річних розрахунків.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S.15.4. Узгодженість ‒ внутрішня</w:t>
            </w:r>
          </w:p>
        </w:tc>
        <w:tc>
          <w:tcPr>
            <w:tcW w:w="8221" w:type="dxa"/>
            <w:shd w:val="clear" w:color="auto" w:fill="auto"/>
          </w:tcPr>
          <w:p>
            <w:pPr>
              <w:ind w:firstLine="430"/>
              <w:jc w:val="both"/>
              <w:rPr>
                <w:rStyle w:val="15"/>
              </w:rPr>
            </w:pPr>
            <w:r>
              <w:rPr>
                <w:rStyle w:val="15"/>
              </w:rPr>
              <w:t>У поширених даних не існує ніяких відомих невідповідностей.</w:t>
            </w:r>
          </w:p>
          <w:p>
            <w:pPr>
              <w:ind w:firstLine="430"/>
              <w:jc w:val="both"/>
            </w:pPr>
            <w:r>
              <w:t>Результати цього статистичного спостереження внутрішньо узгоджені та є послідовними в часі.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S.16. Витрати та навантаження</w:t>
            </w:r>
          </w:p>
        </w:tc>
        <w:tc>
          <w:tcPr>
            <w:tcW w:w="8221" w:type="dxa"/>
            <w:shd w:val="clear" w:color="auto" w:fill="auto"/>
          </w:tcPr>
          <w:p>
            <w:pPr>
              <w:widowControl w:val="0"/>
              <w:autoSpaceDE w:val="0"/>
              <w:autoSpaceDN w:val="0"/>
              <w:adjustRightInd w:val="0"/>
              <w:ind w:firstLine="430"/>
              <w:jc w:val="both"/>
            </w:pPr>
            <w:r>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14.05.2013 № 149.</w:t>
            </w:r>
          </w:p>
          <w:p>
            <w:pPr>
              <w:widowControl w:val="0"/>
              <w:autoSpaceDE w:val="0"/>
              <w:autoSpaceDN w:val="0"/>
              <w:adjustRightInd w:val="0"/>
              <w:ind w:firstLine="430"/>
              <w:jc w:val="both"/>
            </w:pPr>
            <w:r>
              <w:t>У цілому по Україні в 2021 році звітне навантаження на респондентів за формою № 1-заборгованість (ЖКГ) (місячна) зменшилося на 28,65% за рахунок зменшення кількості респондентів (за даними матриці участі респондентів у державних статистичних спостереженнях).</w:t>
            </w:r>
          </w:p>
          <w:p>
            <w:pPr>
              <w:widowControl w:val="0"/>
              <w:autoSpaceDE w:val="0"/>
              <w:autoSpaceDN w:val="0"/>
              <w:adjustRightInd w:val="0"/>
              <w:ind w:firstLine="430"/>
              <w:jc w:val="both"/>
            </w:pPr>
            <w:r>
              <w:t>За результатами анкетного опитування, для визначення звітного навантаження на респондентів середні витрати часу на заповнення форми № 1-заборгованість (ЖКГ) (місячна) становлять 1год. 44 хв. Більшості з числа опитаних респондентів (87%) було не складно зрозуміти зміст показників форми та роз'яснення щодо заповнення форми, підготувати інформацію та заповнити форму. Індекс задоволеності респондентів за формою № 1-заборгованість (ЖКГ) (місячна) становить 94% (при середньому показнику за формами державних статистичних спостереженнях 89%).</w:t>
            </w:r>
          </w:p>
          <w:p>
            <w:pPr>
              <w:widowControl w:val="0"/>
              <w:autoSpaceDE w:val="0"/>
              <w:autoSpaceDN w:val="0"/>
              <w:adjustRightInd w:val="0"/>
              <w:ind w:firstLine="430"/>
              <w:jc w:val="both"/>
            </w:pPr>
            <w:r>
              <w:t>  Відсоток звітування в електронній формі за формою ДСС                  № 1-заборгованість ЖКГ (квартальна) у ІІІ кварталі 2023 року становить 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S.17. Перегляд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S.17.1. Перегляд ‒ політика</w:t>
            </w:r>
          </w:p>
        </w:tc>
        <w:tc>
          <w:tcPr>
            <w:tcW w:w="8221" w:type="dxa"/>
            <w:shd w:val="clear" w:color="auto" w:fill="auto"/>
          </w:tcPr>
          <w:p>
            <w:pPr>
              <w:widowControl w:val="0"/>
              <w:autoSpaceDE w:val="0"/>
              <w:autoSpaceDN w:val="0"/>
              <w:adjustRightInd w:val="0"/>
              <w:ind w:firstLine="430"/>
              <w:jc w:val="both"/>
            </w:pPr>
            <w:r>
              <w:t>За цим ДСС може здійснюватися незапланований перегляд статистичної</w:t>
            </w:r>
            <w:r>
              <w:rPr>
                <w:lang w:val="ru-RU"/>
              </w:rPr>
              <w:t xml:space="preserve"> </w:t>
            </w:r>
            <w:r>
              <w:t>інформації.</w:t>
            </w:r>
          </w:p>
          <w:p>
            <w:pPr>
              <w:widowControl w:val="0"/>
              <w:autoSpaceDE w:val="0"/>
              <w:autoSpaceDN w:val="0"/>
              <w:adjustRightInd w:val="0"/>
              <w:ind w:firstLine="430"/>
              <w:jc w:val="both"/>
            </w:pPr>
            <w:r>
              <w:t>У разі непередбачуваних подій, помилок, які можуть значно (від 5%) вплинути на оприлюднену статистичну інформацію за цим ДСС, може здійснюватися незапланований перегляд статистичної інформації.</w:t>
            </w:r>
          </w:p>
          <w:p>
            <w:pPr>
              <w:widowControl w:val="0"/>
              <w:autoSpaceDE w:val="0"/>
              <w:autoSpaceDN w:val="0"/>
              <w:adjustRightInd w:val="0"/>
              <w:ind w:firstLine="430"/>
              <w:jc w:val="both"/>
            </w:pPr>
            <w:r>
              <w:t>Перегляд статистичної інформації здійснюється по показниках (зазначених у розділі ІІ цих Методологічних положень), у яких були допущені помилки, якщо стала доступна більш повна інформація щодо них та сталися непередбачувані події, які відобразилися на значеннях показників.</w:t>
            </w:r>
          </w:p>
          <w:p>
            <w:pPr>
              <w:widowControl w:val="0"/>
              <w:autoSpaceDE w:val="0"/>
              <w:autoSpaceDN w:val="0"/>
              <w:adjustRightInd w:val="0"/>
              <w:ind w:firstLine="430"/>
              <w:jc w:val="both"/>
            </w:pPr>
            <w:r>
              <w:t>Перегляд статистичної інформації проводиться за період, у якому були виявлені помилки.</w:t>
            </w:r>
          </w:p>
          <w:p>
            <w:pPr>
              <w:widowControl w:val="0"/>
              <w:autoSpaceDE w:val="0"/>
              <w:autoSpaceDN w:val="0"/>
              <w:adjustRightInd w:val="0"/>
              <w:ind w:firstLine="430"/>
              <w:jc w:val="both"/>
            </w:pPr>
            <w:r>
              <w:t>Про незапланований перегляд статистичної інформації користувачам повідомляють, як тільки виникає потреба в ньому. Повідомлення здійснюється шляхом оприлюднення на офіційному вебсайті Держстату відповідного оголошення.</w:t>
            </w:r>
          </w:p>
          <w:p>
            <w:pPr>
              <w:widowControl w:val="0"/>
              <w:autoSpaceDE w:val="0"/>
              <w:autoSpaceDN w:val="0"/>
              <w:adjustRightInd w:val="0"/>
              <w:ind w:firstLine="430"/>
              <w:jc w:val="both"/>
            </w:pPr>
            <w:r>
              <w:t>Переглянута інформація оприлюднюється разом із черговим оприлюдненням відповідної статистичної інформації за підсумками ДСС, згідно із календарем оприлюднення інформації, і з відповідними поясненнями.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S.17.2. Перегляд ‒ середній розмір перегляду (A6 (U))</w:t>
            </w:r>
          </w:p>
        </w:tc>
        <w:tc>
          <w:tcPr>
            <w:tcW w:w="8221" w:type="dxa"/>
            <w:shd w:val="clear" w:color="auto" w:fill="auto"/>
          </w:tcPr>
          <w:p>
            <w:pPr>
              <w:ind w:firstLine="430"/>
              <w:jc w:val="both"/>
            </w:pPr>
            <w:r>
              <w:t xml:space="preserve">Не застосовується. Запланований перегляд результатів цього ДСС не проводився.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S.17.2.1. Перегляд ‒ середній розмір перегляду (A6 (Р))</w:t>
            </w:r>
          </w:p>
        </w:tc>
        <w:tc>
          <w:tcPr>
            <w:tcW w:w="8221" w:type="dxa"/>
            <w:shd w:val="clear" w:color="auto" w:fill="auto"/>
          </w:tcPr>
          <w:p>
            <w:pPr>
              <w:ind w:firstLine="430"/>
              <w:jc w:val="both"/>
            </w:pPr>
            <w:r>
              <w:t xml:space="preserve">Не застосовується. Запланований перегляд результатів цього ДСС не проводився.  </w:t>
            </w:r>
            <w:r>
              <w:rPr>
                <w:strik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2"/>
            <w:shd w:val="clear" w:color="auto" w:fill="auto"/>
          </w:tcPr>
          <w:p>
            <w:pPr>
              <w:widowControl w:val="0"/>
              <w:autoSpaceDE w:val="0"/>
              <w:autoSpaceDN w:val="0"/>
              <w:adjustRightInd w:val="0"/>
            </w:pPr>
            <w:r>
              <w:t>S.18. Статистична обробка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S.18.1. Джерела інформації для проведення ДСС</w:t>
            </w:r>
          </w:p>
        </w:tc>
        <w:tc>
          <w:tcPr>
            <w:tcW w:w="8221" w:type="dxa"/>
            <w:shd w:val="clear" w:color="auto" w:fill="auto"/>
          </w:tcPr>
          <w:p>
            <w:pPr>
              <w:widowControl w:val="0"/>
              <w:autoSpaceDE w:val="0"/>
              <w:autoSpaceDN w:val="0"/>
              <w:adjustRightInd w:val="0"/>
              <w:ind w:firstLine="430"/>
              <w:jc w:val="both"/>
            </w:pPr>
            <w:r>
              <w:t>Джерелами інформації ДСС є:</w:t>
            </w:r>
          </w:p>
          <w:p>
            <w:pPr>
              <w:widowControl w:val="0"/>
              <w:autoSpaceDE w:val="0"/>
              <w:autoSpaceDN w:val="0"/>
              <w:adjustRightInd w:val="0"/>
              <w:ind w:firstLine="430"/>
              <w:jc w:val="both"/>
              <w:rPr>
                <w:strike/>
              </w:rPr>
            </w:pPr>
            <w:r>
              <w:t>інформація, отримана від респондентів, за формою ДСС № 1-заборгованість (ЖКГ) (квартальна) "Звіт про оплату населенням житлово-комунальних послуг" щодо оплати населенням житлово-комунальних послуг за її видами, яка отримується щоквартально не пізніше 25-го числа місяця, наступного за звітним періодом.</w:t>
            </w:r>
          </w:p>
          <w:p>
            <w:pPr>
              <w:widowControl w:val="0"/>
              <w:autoSpaceDE w:val="0"/>
              <w:autoSpaceDN w:val="0"/>
              <w:adjustRightInd w:val="0"/>
              <w:ind w:firstLine="430"/>
              <w:jc w:val="both"/>
            </w:pPr>
            <w:r>
              <w:t>Показники форми містять інформацію щодо суми, нарахованої до сплати населенню, сплаченої населенням у звітному періоді, та заборгованості населення на початок і кінець звітного періоду стосовно управління багатоквартирними будинками, централізованого водопостачання та водовідведення, постачання теплової енергії та гарячої води, постачання та розподілу природного газу, постачання та розподіл електричної енергії та поводження з побутовими відходами, а також інформацію щодо відхилення суми заборгованості населення на початок звітного періоду порівняно із сумою заборгованості населення на кінець попереднього періоду;</w:t>
            </w:r>
          </w:p>
          <w:p>
            <w:pPr>
              <w:widowControl w:val="0"/>
              <w:autoSpaceDE w:val="0"/>
              <w:autoSpaceDN w:val="0"/>
              <w:adjustRightInd w:val="0"/>
              <w:ind w:firstLine="430"/>
              <w:jc w:val="both"/>
              <w:rPr>
                <w:strike/>
              </w:rPr>
            </w:pPr>
            <w:r>
              <w:t>інформація з вебсайту НКРЕКП щодо ліцензіатів, суб’єктів природних монополій, суб’єктів господарювання, які провадять діяльність у сферах енергетики та комунальних послуг, діяльність яких регулюється НКРЕКП, – для формування сукупностей одиниць і сукупностей респондентів (підприємств) ДСС;</w:t>
            </w:r>
          </w:p>
          <w:p>
            <w:pPr>
              <w:widowControl w:val="0"/>
              <w:autoSpaceDE w:val="0"/>
              <w:autoSpaceDN w:val="0"/>
              <w:adjustRightInd w:val="0"/>
              <w:ind w:firstLine="430"/>
              <w:jc w:val="both"/>
            </w:pPr>
            <w:r>
              <w:t xml:space="preserve">інформація з вебсайту Міністерства розвитку громад та територій України щодо переліку осіб, які пройшли професійну атестацію за професією "менеджер (управитель) житлового будинку (групи будинків)", – для формування сукупностей одиниць і сукупностей респондентів (підприємств) ДСС; </w:t>
            </w:r>
          </w:p>
          <w:p>
            <w:pPr>
              <w:widowControl w:val="0"/>
              <w:autoSpaceDE w:val="0"/>
              <w:autoSpaceDN w:val="0"/>
              <w:adjustRightInd w:val="0"/>
              <w:ind w:firstLine="430"/>
              <w:jc w:val="both"/>
            </w:pPr>
            <w:r>
              <w:t>інформація з офіційних вебсайтів виконавчих органів місцевих рад, на території яких розташовані багатоквартирні будинки, або інших органів – суб’єктів владних повноважень, яким делеговано функції зі здійснення управління об’єктами житлово-комунального господарства, забезпечення їх утримання, ефективної експлуатації та необхідного рівня та якості послуг, – для формування сукупностей одиниць і сукупностей респондентів (підприємств) ДСС;</w:t>
            </w:r>
          </w:p>
          <w:p>
            <w:pPr>
              <w:widowControl w:val="0"/>
              <w:autoSpaceDE w:val="0"/>
              <w:autoSpaceDN w:val="0"/>
              <w:adjustRightInd w:val="0"/>
              <w:ind w:firstLine="430"/>
              <w:jc w:val="both"/>
            </w:pPr>
            <w:r>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що вивчається, та сукупності респондентів ДСС.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S.18.2. Періодичність отримання інформації</w:t>
            </w:r>
          </w:p>
        </w:tc>
        <w:tc>
          <w:tcPr>
            <w:tcW w:w="8221" w:type="dxa"/>
            <w:shd w:val="clear" w:color="auto" w:fill="auto"/>
          </w:tcPr>
          <w:p>
            <w:pPr>
              <w:widowControl w:val="0"/>
              <w:autoSpaceDE w:val="0"/>
              <w:autoSpaceDN w:val="0"/>
              <w:adjustRightInd w:val="0"/>
              <w:ind w:firstLine="430"/>
              <w:jc w:val="both"/>
            </w:pPr>
            <w:r>
              <w:t>Збір даних для розрахунків показників статистичного спостереження проводиться щоквартально не пізніше 25-го числа місяця, наступного за звітним періодом, починаючи зі звіту за                   І квартал 2022 року. За попередні звітні роки – щомісячно.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S.18.3. Збір інформації</w:t>
            </w:r>
          </w:p>
        </w:tc>
        <w:tc>
          <w:tcPr>
            <w:tcW w:w="8221" w:type="dxa"/>
            <w:shd w:val="clear" w:color="auto" w:fill="auto"/>
          </w:tcPr>
          <w:p>
            <w:pPr>
              <w:ind w:firstLine="430"/>
              <w:jc w:val="both"/>
            </w:pPr>
            <w:r>
              <w:t>Статистичне спостереження проводиться шляхом збору інформації безпосередньо від респондентів за формою № 1-заборгованість (ЖКГ) (квартальна) "Звіт про оплату населенням житлово-комунальних послуг" і використанням інформації з вебсайтів.</w:t>
            </w:r>
          </w:p>
          <w:p>
            <w:pPr>
              <w:ind w:firstLine="430"/>
              <w:jc w:val="both"/>
              <w:rPr>
                <w:strike/>
              </w:rPr>
            </w:pPr>
            <w:r>
              <w:t xml:space="preserve">Органи державної статистики отримують дані щодо нарахувань, сплати та заборгованості населення за спожиті житлово-комунальні послуги від юридичної особи за її місцезнаходженням або безпосередньо від відокремленого підрозділу юридичної особи за місцем надання житлово-комунальних послуг. </w:t>
            </w:r>
          </w:p>
          <w:p>
            <w:pPr>
              <w:ind w:firstLine="430"/>
              <w:jc w:val="both"/>
            </w:pPr>
            <w:r>
              <w:t>Від одного респондента – один або більше звітів (у разі наявності надання послуги в декількох адміністративно-територіальних одиницях кількість отриманих звітів відповідає кількості адміністративно-територіальних одиниць).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S.18.4. Валідація даних. Підтвердження інформації, необхідної для проведення ДСС  </w:t>
            </w:r>
          </w:p>
        </w:tc>
        <w:tc>
          <w:tcPr>
            <w:tcW w:w="8221" w:type="dxa"/>
            <w:shd w:val="clear" w:color="auto" w:fill="auto"/>
          </w:tcPr>
          <w:p>
            <w:pPr>
              <w:ind w:firstLine="430"/>
              <w:jc w:val="both"/>
            </w:pPr>
            <w:r>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w:t>
            </w:r>
          </w:p>
          <w:p>
            <w:pPr>
              <w:ind w:firstLine="430"/>
              <w:jc w:val="both"/>
            </w:pPr>
            <w:r>
              <w:t xml:space="preserve">Здійснюється контроль повноти та правильності заповнення статистичного формуляру; проведення логічних контролів та контролів повноти під час уведення даних; перевірка правильності співвідношення окремих значень показників, порівняння значень показників у динаміці (порівняння з попереднім звітним роком). У разі виявлення неузгодженостей може здійснюватися зв’язок з респондентами і відповідне редагування інформації.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S.18.5. Об’єднання даних</w:t>
            </w:r>
          </w:p>
        </w:tc>
        <w:tc>
          <w:tcPr>
            <w:tcW w:w="8221" w:type="dxa"/>
            <w:shd w:val="clear" w:color="auto" w:fill="auto"/>
          </w:tcPr>
          <w:p>
            <w:pPr>
              <w:pStyle w:val="12"/>
              <w:ind w:firstLine="430"/>
              <w:contextualSpacing/>
              <w:jc w:val="both"/>
              <w:rPr>
                <w:sz w:val="28"/>
                <w:szCs w:val="28"/>
                <w:lang w:val="uk-UA"/>
              </w:rPr>
            </w:pPr>
            <w:r>
              <w:rPr>
                <w:sz w:val="28"/>
                <w:szCs w:val="28"/>
                <w:lang w:val="uk-UA"/>
              </w:rPr>
              <w:t>Формування показників за результатами ДСС відбувається методом поєднання даних, отриманих за результатами обстеження сукупності одиниць, що вивчається. Для формування показників ДСС застосовуються методи обчислення відносних величин, інтенсивності, арифметичного сумування абсолютних величин та їх розподілу за категоріями.</w:t>
            </w:r>
          </w:p>
          <w:p>
            <w:pPr>
              <w:pStyle w:val="12"/>
              <w:ind w:firstLine="430"/>
              <w:contextualSpacing/>
              <w:jc w:val="both"/>
              <w:rPr>
                <w:sz w:val="28"/>
                <w:szCs w:val="28"/>
                <w:lang w:val="uk-UA"/>
              </w:rPr>
            </w:pPr>
            <w:r>
              <w:rPr>
                <w:sz w:val="28"/>
                <w:szCs w:val="28"/>
                <w:lang w:val="uk-UA"/>
              </w:rPr>
              <w:t>Отримані результати для забезпечення їх якості аналізуються, зокрема з точки зору взаємозв’язку показників: сума коштів, нарахованих населенню до сплати за житлово-комунальні послуги, сума коштів, сплачених населенням за житлово-комунальні послуги, сума заборгованості населення з оплати житлово-комунальних послуг.</w:t>
            </w:r>
          </w:p>
          <w:p>
            <w:pPr>
              <w:pStyle w:val="12"/>
              <w:ind w:firstLine="430"/>
              <w:contextualSpacing/>
              <w:jc w:val="both"/>
              <w:rPr>
                <w:color w:val="000000"/>
                <w:sz w:val="28"/>
                <w:szCs w:val="28"/>
                <w:lang w:val="uk-UA"/>
              </w:rPr>
            </w:pPr>
            <w:r>
              <w:rPr>
                <w:sz w:val="28"/>
                <w:szCs w:val="28"/>
                <w:lang w:val="uk-UA"/>
              </w:rPr>
              <w:t>Також здійснюється аналіз розподілу даних, аналіз абсолютних і відносних величин, вивчаються тенденції.</w:t>
            </w:r>
            <w:r>
              <w:rPr>
                <w:color w:val="000000"/>
                <w:sz w:val="28"/>
                <w:szCs w:val="28"/>
                <w:lang w:val="uk-UA"/>
              </w:rPr>
              <w:t xml:space="preserve">  </w:t>
            </w:r>
          </w:p>
          <w:p>
            <w:pPr>
              <w:pStyle w:val="12"/>
              <w:ind w:firstLine="430"/>
              <w:contextualSpacing/>
              <w:jc w:val="both"/>
              <w:rPr>
                <w:lang w:val="uk-UA"/>
              </w:rPr>
            </w:pPr>
            <w:r>
              <w:rPr>
                <w:color w:val="000000"/>
                <w:sz w:val="28"/>
                <w:szCs w:val="28"/>
                <w:lang w:val="uk-UA"/>
              </w:rPr>
              <w:t>Методи компенсації відсутніх даних (імпутації) не застосовуються.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 xml:space="preserve">S.18.5.1. Рівень імпутації (A7)    </w:t>
            </w:r>
          </w:p>
        </w:tc>
        <w:tc>
          <w:tcPr>
            <w:tcW w:w="8221" w:type="dxa"/>
            <w:shd w:val="clear" w:color="auto" w:fill="auto"/>
          </w:tcPr>
          <w:p>
            <w:pPr>
              <w:ind w:left="-108" w:firstLine="538"/>
            </w:pPr>
            <w:r>
              <w:t>Не застосовується. Методи імпутації не використовуються.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S.18.6. Коригування</w:t>
            </w:r>
          </w:p>
        </w:tc>
        <w:tc>
          <w:tcPr>
            <w:tcW w:w="8221" w:type="dxa"/>
            <w:shd w:val="clear" w:color="auto" w:fill="auto"/>
          </w:tcPr>
          <w:p>
            <w:pPr>
              <w:ind w:left="33" w:firstLine="397"/>
              <w:jc w:val="both"/>
            </w:pPr>
            <w:r>
              <w:t>Коригування інформації може відбуватися у процесі обробки даних ДСС і складається з опрацювання, валідації даних, що надійшли від респондентів, їх об’єднання та відповідно їх редагування. Методи сезонного коригування даних не застосовуються.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S.18.6.1. Сезонне коригування</w:t>
            </w:r>
          </w:p>
        </w:tc>
        <w:tc>
          <w:tcPr>
            <w:tcW w:w="8221" w:type="dxa"/>
            <w:shd w:val="clear" w:color="auto" w:fill="auto"/>
          </w:tcPr>
          <w:p>
            <w:pPr>
              <w:spacing w:line="228" w:lineRule="auto"/>
              <w:ind w:firstLine="430"/>
              <w:jc w:val="both"/>
            </w:pPr>
            <w:r>
              <w:t>Не застосовується. Методи коригування сезонних коливань для цього ДСС не використовуються.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shd w:val="clear" w:color="auto" w:fill="auto"/>
          </w:tcPr>
          <w:p>
            <w:pPr>
              <w:widowControl w:val="0"/>
              <w:autoSpaceDE w:val="0"/>
              <w:autoSpaceDN w:val="0"/>
              <w:adjustRightInd w:val="0"/>
            </w:pPr>
            <w:r>
              <w:t>S.19. Коментарі</w:t>
            </w:r>
          </w:p>
        </w:tc>
        <w:tc>
          <w:tcPr>
            <w:tcW w:w="8221" w:type="dxa"/>
            <w:shd w:val="clear" w:color="auto" w:fill="auto"/>
          </w:tcPr>
          <w:p>
            <w:pPr>
              <w:ind w:firstLine="459"/>
              <w:jc w:val="both"/>
            </w:pPr>
            <w:r>
              <w:t>Найближчими роками здійснюватиметься подальше удосконалення методології проведення ДСС з урахуванням можливого використання адміністративних джерел даних.</w:t>
            </w:r>
          </w:p>
          <w:p>
            <w:pPr>
              <w:ind w:firstLine="459"/>
              <w:jc w:val="both"/>
              <w:rPr>
                <w:lang w:val="pl-PL"/>
              </w:rPr>
            </w:pPr>
            <w:r>
              <w:t xml:space="preserve"> Ураховуючи ситуацію, що склалася у зв’язку з військовою агресією росії проти України за підтримки білорусі, результати спостереження за звітні періоди 2022 та 2023 років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bl>
    <w:p>
      <w:pPr>
        <w:autoSpaceDE w:val="0"/>
        <w:autoSpaceDN w:val="0"/>
        <w:adjustRightInd w:val="0"/>
        <w:spacing w:before="120"/>
        <w:jc w:val="center"/>
        <w:rPr>
          <w:bCs/>
        </w:rPr>
      </w:pPr>
    </w:p>
    <w:sectPr>
      <w:pgSz w:w="16838" w:h="11906" w:orient="landscape"/>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CC"/>
    <w:family w:val="auto"/>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546126"/>
      <w:docPartObj>
        <w:docPartGallery w:val="AutoText"/>
      </w:docPartObj>
    </w:sdtPr>
    <w:sdtContent>
      <w:p>
        <w:pPr>
          <w:pStyle w:val="10"/>
          <w:jc w:val="center"/>
        </w:pPr>
        <w:r>
          <w:fldChar w:fldCharType="begin"/>
        </w:r>
        <w:r>
          <w:instrText xml:space="preserve"> PAGE   \* MERGEFORMAT </w:instrText>
        </w:r>
        <w:r>
          <w:fldChar w:fldCharType="separate"/>
        </w:r>
        <w:r>
          <w:t>28</w:t>
        </w:r>
        <w:r>
          <w:fldChar w:fldCharType="end"/>
        </w:r>
      </w:p>
    </w:sdtContent>
  </w:sdt>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6044E"/>
    <w:multiLevelType w:val="multilevel"/>
    <w:tmpl w:val="2166044E"/>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77385FBF"/>
    <w:multiLevelType w:val="multilevel"/>
    <w:tmpl w:val="77385FBF"/>
    <w:lvl w:ilvl="0" w:tentative="0">
      <w:start w:val="1"/>
      <w:numFmt w:val="decimal"/>
      <w:lvlText w:val="%1)"/>
      <w:lvlJc w:val="left"/>
      <w:pPr>
        <w:ind w:left="819" w:hanging="360"/>
      </w:pPr>
      <w:rPr>
        <w:rFonts w:hint="default"/>
      </w:rPr>
    </w:lvl>
    <w:lvl w:ilvl="1" w:tentative="0">
      <w:start w:val="1"/>
      <w:numFmt w:val="lowerLetter"/>
      <w:lvlText w:val="%2."/>
      <w:lvlJc w:val="left"/>
      <w:pPr>
        <w:ind w:left="1539" w:hanging="360"/>
      </w:pPr>
    </w:lvl>
    <w:lvl w:ilvl="2" w:tentative="0">
      <w:start w:val="1"/>
      <w:numFmt w:val="lowerRoman"/>
      <w:lvlText w:val="%3."/>
      <w:lvlJc w:val="right"/>
      <w:pPr>
        <w:ind w:left="2259" w:hanging="180"/>
      </w:pPr>
    </w:lvl>
    <w:lvl w:ilvl="3" w:tentative="0">
      <w:start w:val="1"/>
      <w:numFmt w:val="decimal"/>
      <w:lvlText w:val="%4."/>
      <w:lvlJc w:val="left"/>
      <w:pPr>
        <w:ind w:left="2979" w:hanging="360"/>
      </w:pPr>
    </w:lvl>
    <w:lvl w:ilvl="4" w:tentative="0">
      <w:start w:val="1"/>
      <w:numFmt w:val="lowerLetter"/>
      <w:lvlText w:val="%5."/>
      <w:lvlJc w:val="left"/>
      <w:pPr>
        <w:ind w:left="3699" w:hanging="360"/>
      </w:pPr>
    </w:lvl>
    <w:lvl w:ilvl="5" w:tentative="0">
      <w:start w:val="1"/>
      <w:numFmt w:val="lowerRoman"/>
      <w:lvlText w:val="%6."/>
      <w:lvlJc w:val="right"/>
      <w:pPr>
        <w:ind w:left="4419" w:hanging="180"/>
      </w:pPr>
    </w:lvl>
    <w:lvl w:ilvl="6" w:tentative="0">
      <w:start w:val="1"/>
      <w:numFmt w:val="decimal"/>
      <w:lvlText w:val="%7."/>
      <w:lvlJc w:val="left"/>
      <w:pPr>
        <w:ind w:left="5139" w:hanging="360"/>
      </w:pPr>
    </w:lvl>
    <w:lvl w:ilvl="7" w:tentative="0">
      <w:start w:val="1"/>
      <w:numFmt w:val="lowerLetter"/>
      <w:lvlText w:val="%8."/>
      <w:lvlJc w:val="left"/>
      <w:pPr>
        <w:ind w:left="5859" w:hanging="360"/>
      </w:pPr>
    </w:lvl>
    <w:lvl w:ilvl="8" w:tentative="0">
      <w:start w:val="1"/>
      <w:numFmt w:val="lowerRoman"/>
      <w:lvlText w:val="%9."/>
      <w:lvlJc w:val="right"/>
      <w:pPr>
        <w:ind w:left="657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F53"/>
    <w:rsid w:val="00004EAC"/>
    <w:rsid w:val="000060D4"/>
    <w:rsid w:val="00011AFD"/>
    <w:rsid w:val="00026E45"/>
    <w:rsid w:val="00036404"/>
    <w:rsid w:val="00037B6C"/>
    <w:rsid w:val="000400EB"/>
    <w:rsid w:val="000401F9"/>
    <w:rsid w:val="000513A6"/>
    <w:rsid w:val="000513AA"/>
    <w:rsid w:val="0005394D"/>
    <w:rsid w:val="00055590"/>
    <w:rsid w:val="00056F94"/>
    <w:rsid w:val="00061121"/>
    <w:rsid w:val="0006577A"/>
    <w:rsid w:val="00075F49"/>
    <w:rsid w:val="000866C9"/>
    <w:rsid w:val="00094D24"/>
    <w:rsid w:val="000B23E6"/>
    <w:rsid w:val="000B762F"/>
    <w:rsid w:val="000C37FD"/>
    <w:rsid w:val="000C751C"/>
    <w:rsid w:val="000D3284"/>
    <w:rsid w:val="000D7663"/>
    <w:rsid w:val="000E6188"/>
    <w:rsid w:val="000F18ED"/>
    <w:rsid w:val="000F4022"/>
    <w:rsid w:val="001122A7"/>
    <w:rsid w:val="00112305"/>
    <w:rsid w:val="001230DA"/>
    <w:rsid w:val="001253B7"/>
    <w:rsid w:val="00132812"/>
    <w:rsid w:val="00133ADC"/>
    <w:rsid w:val="00151876"/>
    <w:rsid w:val="001572C2"/>
    <w:rsid w:val="001662F0"/>
    <w:rsid w:val="0017308F"/>
    <w:rsid w:val="001737EC"/>
    <w:rsid w:val="00173AD5"/>
    <w:rsid w:val="00177ED1"/>
    <w:rsid w:val="00181E6D"/>
    <w:rsid w:val="001904AB"/>
    <w:rsid w:val="0019212E"/>
    <w:rsid w:val="001938F4"/>
    <w:rsid w:val="00194400"/>
    <w:rsid w:val="001B29D5"/>
    <w:rsid w:val="001B7AB2"/>
    <w:rsid w:val="001C484E"/>
    <w:rsid w:val="001C57BF"/>
    <w:rsid w:val="001D054D"/>
    <w:rsid w:val="001D4F61"/>
    <w:rsid w:val="001D5448"/>
    <w:rsid w:val="001D6BC8"/>
    <w:rsid w:val="001F2E48"/>
    <w:rsid w:val="0021624A"/>
    <w:rsid w:val="00220EA8"/>
    <w:rsid w:val="00220FE3"/>
    <w:rsid w:val="0022351E"/>
    <w:rsid w:val="002250B2"/>
    <w:rsid w:val="00236F81"/>
    <w:rsid w:val="002440BE"/>
    <w:rsid w:val="002538C4"/>
    <w:rsid w:val="0027029C"/>
    <w:rsid w:val="00281CEB"/>
    <w:rsid w:val="0028277D"/>
    <w:rsid w:val="0028290A"/>
    <w:rsid w:val="0028589D"/>
    <w:rsid w:val="002937E1"/>
    <w:rsid w:val="002A1E21"/>
    <w:rsid w:val="002A4F59"/>
    <w:rsid w:val="002A680D"/>
    <w:rsid w:val="002B3029"/>
    <w:rsid w:val="002B6030"/>
    <w:rsid w:val="002C51C0"/>
    <w:rsid w:val="002D0427"/>
    <w:rsid w:val="002D0612"/>
    <w:rsid w:val="002D28A8"/>
    <w:rsid w:val="002D4C93"/>
    <w:rsid w:val="002D61D1"/>
    <w:rsid w:val="002E6A38"/>
    <w:rsid w:val="002F4C89"/>
    <w:rsid w:val="00307395"/>
    <w:rsid w:val="003155B4"/>
    <w:rsid w:val="00342F1B"/>
    <w:rsid w:val="00352975"/>
    <w:rsid w:val="0035517F"/>
    <w:rsid w:val="0036036C"/>
    <w:rsid w:val="00365EC0"/>
    <w:rsid w:val="00366B12"/>
    <w:rsid w:val="00372EA2"/>
    <w:rsid w:val="003843BC"/>
    <w:rsid w:val="00394FF4"/>
    <w:rsid w:val="00396067"/>
    <w:rsid w:val="00397D0D"/>
    <w:rsid w:val="003A2475"/>
    <w:rsid w:val="003A5603"/>
    <w:rsid w:val="003A6930"/>
    <w:rsid w:val="003B6972"/>
    <w:rsid w:val="003B72A2"/>
    <w:rsid w:val="003C31D1"/>
    <w:rsid w:val="003D2E52"/>
    <w:rsid w:val="003D365E"/>
    <w:rsid w:val="003D7D22"/>
    <w:rsid w:val="003E734C"/>
    <w:rsid w:val="003F041A"/>
    <w:rsid w:val="003F6597"/>
    <w:rsid w:val="00401D7F"/>
    <w:rsid w:val="00415D58"/>
    <w:rsid w:val="00421D08"/>
    <w:rsid w:val="00422A75"/>
    <w:rsid w:val="004377CE"/>
    <w:rsid w:val="00451EC4"/>
    <w:rsid w:val="00452D62"/>
    <w:rsid w:val="00452FBF"/>
    <w:rsid w:val="004536F7"/>
    <w:rsid w:val="00454196"/>
    <w:rsid w:val="00462668"/>
    <w:rsid w:val="004635BC"/>
    <w:rsid w:val="00466C6A"/>
    <w:rsid w:val="004709E1"/>
    <w:rsid w:val="0047682F"/>
    <w:rsid w:val="00491709"/>
    <w:rsid w:val="004A0208"/>
    <w:rsid w:val="004A035C"/>
    <w:rsid w:val="004A6CEB"/>
    <w:rsid w:val="004C1340"/>
    <w:rsid w:val="004C40B6"/>
    <w:rsid w:val="004E091B"/>
    <w:rsid w:val="004E10E5"/>
    <w:rsid w:val="004F6EFA"/>
    <w:rsid w:val="0050634D"/>
    <w:rsid w:val="0051306B"/>
    <w:rsid w:val="00525FE9"/>
    <w:rsid w:val="00526B09"/>
    <w:rsid w:val="00534D31"/>
    <w:rsid w:val="005356A2"/>
    <w:rsid w:val="00542C04"/>
    <w:rsid w:val="005718C1"/>
    <w:rsid w:val="00574B0E"/>
    <w:rsid w:val="00580FE8"/>
    <w:rsid w:val="00581DC5"/>
    <w:rsid w:val="00591A3E"/>
    <w:rsid w:val="005C1BE3"/>
    <w:rsid w:val="005C33AE"/>
    <w:rsid w:val="005C71FA"/>
    <w:rsid w:val="005C797D"/>
    <w:rsid w:val="005D0224"/>
    <w:rsid w:val="005D3F07"/>
    <w:rsid w:val="005D55B3"/>
    <w:rsid w:val="005E09C2"/>
    <w:rsid w:val="005E2A7C"/>
    <w:rsid w:val="0060045E"/>
    <w:rsid w:val="006006DD"/>
    <w:rsid w:val="00601E18"/>
    <w:rsid w:val="0061184A"/>
    <w:rsid w:val="00622105"/>
    <w:rsid w:val="00623CB1"/>
    <w:rsid w:val="00633580"/>
    <w:rsid w:val="0063730A"/>
    <w:rsid w:val="00637EE7"/>
    <w:rsid w:val="00644051"/>
    <w:rsid w:val="0065190C"/>
    <w:rsid w:val="00655C34"/>
    <w:rsid w:val="00660307"/>
    <w:rsid w:val="006617A7"/>
    <w:rsid w:val="00671882"/>
    <w:rsid w:val="006727D1"/>
    <w:rsid w:val="00685A18"/>
    <w:rsid w:val="00686B3A"/>
    <w:rsid w:val="00691040"/>
    <w:rsid w:val="006A2E97"/>
    <w:rsid w:val="006A31F4"/>
    <w:rsid w:val="006A4B7D"/>
    <w:rsid w:val="006A6654"/>
    <w:rsid w:val="006A6AD6"/>
    <w:rsid w:val="006C0583"/>
    <w:rsid w:val="006C35FE"/>
    <w:rsid w:val="006C7CB0"/>
    <w:rsid w:val="006D3115"/>
    <w:rsid w:val="006E32F1"/>
    <w:rsid w:val="007014EA"/>
    <w:rsid w:val="0070297E"/>
    <w:rsid w:val="00713C7A"/>
    <w:rsid w:val="00720816"/>
    <w:rsid w:val="0072200A"/>
    <w:rsid w:val="00723403"/>
    <w:rsid w:val="007357A4"/>
    <w:rsid w:val="007359B7"/>
    <w:rsid w:val="00755505"/>
    <w:rsid w:val="00760183"/>
    <w:rsid w:val="0076083C"/>
    <w:rsid w:val="00762E23"/>
    <w:rsid w:val="00764161"/>
    <w:rsid w:val="007707B8"/>
    <w:rsid w:val="00776E3F"/>
    <w:rsid w:val="007830B4"/>
    <w:rsid w:val="007866F6"/>
    <w:rsid w:val="00790488"/>
    <w:rsid w:val="00791FF1"/>
    <w:rsid w:val="00794B66"/>
    <w:rsid w:val="007A5143"/>
    <w:rsid w:val="007B03C7"/>
    <w:rsid w:val="007B2641"/>
    <w:rsid w:val="007C1090"/>
    <w:rsid w:val="007C1CA9"/>
    <w:rsid w:val="007C2AC9"/>
    <w:rsid w:val="007D0D71"/>
    <w:rsid w:val="007D3DA8"/>
    <w:rsid w:val="007E1D0C"/>
    <w:rsid w:val="007E7EDF"/>
    <w:rsid w:val="007F36B0"/>
    <w:rsid w:val="007F4051"/>
    <w:rsid w:val="00804311"/>
    <w:rsid w:val="00804522"/>
    <w:rsid w:val="00805ECF"/>
    <w:rsid w:val="00811D99"/>
    <w:rsid w:val="00824207"/>
    <w:rsid w:val="00830B68"/>
    <w:rsid w:val="00832B5A"/>
    <w:rsid w:val="008333F6"/>
    <w:rsid w:val="00835477"/>
    <w:rsid w:val="00837F2D"/>
    <w:rsid w:val="00841444"/>
    <w:rsid w:val="00847254"/>
    <w:rsid w:val="00850298"/>
    <w:rsid w:val="00853F06"/>
    <w:rsid w:val="00855975"/>
    <w:rsid w:val="00866CCA"/>
    <w:rsid w:val="00871856"/>
    <w:rsid w:val="00880072"/>
    <w:rsid w:val="00890F25"/>
    <w:rsid w:val="008A0EAF"/>
    <w:rsid w:val="008A32D5"/>
    <w:rsid w:val="008C737A"/>
    <w:rsid w:val="008D46F6"/>
    <w:rsid w:val="008E2D93"/>
    <w:rsid w:val="008E60B3"/>
    <w:rsid w:val="008F1BD7"/>
    <w:rsid w:val="009023BB"/>
    <w:rsid w:val="00914AA9"/>
    <w:rsid w:val="009324CD"/>
    <w:rsid w:val="009457B6"/>
    <w:rsid w:val="0095004F"/>
    <w:rsid w:val="00951828"/>
    <w:rsid w:val="009533C6"/>
    <w:rsid w:val="00955A5D"/>
    <w:rsid w:val="00956E41"/>
    <w:rsid w:val="00961CA3"/>
    <w:rsid w:val="009723FF"/>
    <w:rsid w:val="00975FAD"/>
    <w:rsid w:val="00984FB1"/>
    <w:rsid w:val="00995ECD"/>
    <w:rsid w:val="009A18B7"/>
    <w:rsid w:val="009A55A7"/>
    <w:rsid w:val="009B7A4F"/>
    <w:rsid w:val="009C3E70"/>
    <w:rsid w:val="009D55FD"/>
    <w:rsid w:val="009D6966"/>
    <w:rsid w:val="009E024F"/>
    <w:rsid w:val="009F065E"/>
    <w:rsid w:val="009F4CA8"/>
    <w:rsid w:val="009F4CBA"/>
    <w:rsid w:val="009F515F"/>
    <w:rsid w:val="00A11ECA"/>
    <w:rsid w:val="00A23A0D"/>
    <w:rsid w:val="00A2445E"/>
    <w:rsid w:val="00A30646"/>
    <w:rsid w:val="00A44596"/>
    <w:rsid w:val="00A47565"/>
    <w:rsid w:val="00A54C5B"/>
    <w:rsid w:val="00A65961"/>
    <w:rsid w:val="00A746AA"/>
    <w:rsid w:val="00A76081"/>
    <w:rsid w:val="00AA3BE7"/>
    <w:rsid w:val="00AA7EDD"/>
    <w:rsid w:val="00AB2A33"/>
    <w:rsid w:val="00AB5BCA"/>
    <w:rsid w:val="00AB5F82"/>
    <w:rsid w:val="00AC32A3"/>
    <w:rsid w:val="00AD30FA"/>
    <w:rsid w:val="00AF0F88"/>
    <w:rsid w:val="00AF4725"/>
    <w:rsid w:val="00AF4996"/>
    <w:rsid w:val="00B00A6A"/>
    <w:rsid w:val="00B04AEB"/>
    <w:rsid w:val="00B05214"/>
    <w:rsid w:val="00B111C0"/>
    <w:rsid w:val="00B14BAC"/>
    <w:rsid w:val="00B321B8"/>
    <w:rsid w:val="00B360A9"/>
    <w:rsid w:val="00B45144"/>
    <w:rsid w:val="00B5402B"/>
    <w:rsid w:val="00B567E9"/>
    <w:rsid w:val="00B56B9A"/>
    <w:rsid w:val="00B627E7"/>
    <w:rsid w:val="00B71096"/>
    <w:rsid w:val="00B73F33"/>
    <w:rsid w:val="00B83159"/>
    <w:rsid w:val="00BA15AA"/>
    <w:rsid w:val="00BA4EBF"/>
    <w:rsid w:val="00BC025E"/>
    <w:rsid w:val="00BC1262"/>
    <w:rsid w:val="00BC67D8"/>
    <w:rsid w:val="00BC7BB7"/>
    <w:rsid w:val="00BE23EF"/>
    <w:rsid w:val="00BE5001"/>
    <w:rsid w:val="00BF072C"/>
    <w:rsid w:val="00C03871"/>
    <w:rsid w:val="00C10B36"/>
    <w:rsid w:val="00C327E0"/>
    <w:rsid w:val="00C4416A"/>
    <w:rsid w:val="00C44F7C"/>
    <w:rsid w:val="00C47D32"/>
    <w:rsid w:val="00C50037"/>
    <w:rsid w:val="00C5276C"/>
    <w:rsid w:val="00C560C0"/>
    <w:rsid w:val="00C6634D"/>
    <w:rsid w:val="00C7633D"/>
    <w:rsid w:val="00C76A17"/>
    <w:rsid w:val="00C81892"/>
    <w:rsid w:val="00C86921"/>
    <w:rsid w:val="00C87E6E"/>
    <w:rsid w:val="00CB1F1F"/>
    <w:rsid w:val="00CB27A9"/>
    <w:rsid w:val="00CC17B2"/>
    <w:rsid w:val="00CF364D"/>
    <w:rsid w:val="00CF4A85"/>
    <w:rsid w:val="00CF7179"/>
    <w:rsid w:val="00D00735"/>
    <w:rsid w:val="00D02FE6"/>
    <w:rsid w:val="00D1172A"/>
    <w:rsid w:val="00D14939"/>
    <w:rsid w:val="00D1766A"/>
    <w:rsid w:val="00D21A77"/>
    <w:rsid w:val="00D24490"/>
    <w:rsid w:val="00D26284"/>
    <w:rsid w:val="00D27B8D"/>
    <w:rsid w:val="00D32EBD"/>
    <w:rsid w:val="00D4106D"/>
    <w:rsid w:val="00D51FE4"/>
    <w:rsid w:val="00D606F5"/>
    <w:rsid w:val="00D72650"/>
    <w:rsid w:val="00D76DBF"/>
    <w:rsid w:val="00D8571C"/>
    <w:rsid w:val="00D87407"/>
    <w:rsid w:val="00D97E41"/>
    <w:rsid w:val="00DA1050"/>
    <w:rsid w:val="00DA2365"/>
    <w:rsid w:val="00DA527A"/>
    <w:rsid w:val="00DA6D5A"/>
    <w:rsid w:val="00DA7EBC"/>
    <w:rsid w:val="00DC2767"/>
    <w:rsid w:val="00DC4CFA"/>
    <w:rsid w:val="00DD03B1"/>
    <w:rsid w:val="00DD0F11"/>
    <w:rsid w:val="00DD2C2C"/>
    <w:rsid w:val="00DD3C87"/>
    <w:rsid w:val="00DD4011"/>
    <w:rsid w:val="00DF1A04"/>
    <w:rsid w:val="00DF5BC5"/>
    <w:rsid w:val="00E10AFF"/>
    <w:rsid w:val="00E12964"/>
    <w:rsid w:val="00E242A3"/>
    <w:rsid w:val="00E25D84"/>
    <w:rsid w:val="00E3000B"/>
    <w:rsid w:val="00E30067"/>
    <w:rsid w:val="00E32202"/>
    <w:rsid w:val="00E32E8E"/>
    <w:rsid w:val="00E53450"/>
    <w:rsid w:val="00E642F2"/>
    <w:rsid w:val="00E676B2"/>
    <w:rsid w:val="00E93197"/>
    <w:rsid w:val="00EA0D06"/>
    <w:rsid w:val="00EA0FF4"/>
    <w:rsid w:val="00EB231B"/>
    <w:rsid w:val="00EB3A1A"/>
    <w:rsid w:val="00EB629E"/>
    <w:rsid w:val="00ED50A2"/>
    <w:rsid w:val="00EE21CE"/>
    <w:rsid w:val="00EE6AF0"/>
    <w:rsid w:val="00EF7459"/>
    <w:rsid w:val="00F0043A"/>
    <w:rsid w:val="00F004C7"/>
    <w:rsid w:val="00F02E78"/>
    <w:rsid w:val="00F1398D"/>
    <w:rsid w:val="00F21FDB"/>
    <w:rsid w:val="00F30737"/>
    <w:rsid w:val="00F36AE0"/>
    <w:rsid w:val="00F45CA1"/>
    <w:rsid w:val="00F52D4B"/>
    <w:rsid w:val="00F53ABF"/>
    <w:rsid w:val="00F5736F"/>
    <w:rsid w:val="00F604F6"/>
    <w:rsid w:val="00F60A62"/>
    <w:rsid w:val="00F6761F"/>
    <w:rsid w:val="00F715D8"/>
    <w:rsid w:val="00F7312F"/>
    <w:rsid w:val="00F73DED"/>
    <w:rsid w:val="00F9776B"/>
    <w:rsid w:val="00FA0FA4"/>
    <w:rsid w:val="00FA6BDF"/>
    <w:rsid w:val="00FB00B0"/>
    <w:rsid w:val="00FD067B"/>
    <w:rsid w:val="00FD1F26"/>
    <w:rsid w:val="00FD6528"/>
    <w:rsid w:val="00FE1738"/>
    <w:rsid w:val="00FE5BC0"/>
    <w:rsid w:val="00FE732E"/>
    <w:rsid w:val="00FF1B04"/>
    <w:rsid w:val="55AE3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uk-UA" w:eastAsia="uk-UA"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nhideWhenUsed/>
    <w:qFormat/>
    <w:uiPriority w:val="99"/>
    <w:rPr>
      <w:rFonts w:ascii="Segoe UI" w:hAnsi="Segoe UI" w:cs="Segoe UI"/>
      <w:sz w:val="18"/>
      <w:szCs w:val="18"/>
    </w:rPr>
  </w:style>
  <w:style w:type="paragraph" w:styleId="5">
    <w:name w:val="Body Text 3"/>
    <w:basedOn w:val="1"/>
    <w:link w:val="16"/>
    <w:qFormat/>
    <w:uiPriority w:val="0"/>
    <w:pPr>
      <w:spacing w:after="120"/>
    </w:pPr>
    <w:rPr>
      <w:rFonts w:cs="Cambria Math"/>
      <w:sz w:val="16"/>
      <w:szCs w:val="16"/>
    </w:rPr>
  </w:style>
  <w:style w:type="character" w:styleId="6">
    <w:name w:val="annotation reference"/>
    <w:basedOn w:val="2"/>
    <w:semiHidden/>
    <w:unhideWhenUsed/>
    <w:qFormat/>
    <w:uiPriority w:val="99"/>
    <w:rPr>
      <w:sz w:val="16"/>
      <w:szCs w:val="16"/>
    </w:rPr>
  </w:style>
  <w:style w:type="paragraph" w:styleId="7">
    <w:name w:val="annotation text"/>
    <w:basedOn w:val="1"/>
    <w:link w:val="14"/>
    <w:qFormat/>
    <w:uiPriority w:val="99"/>
    <w:rPr>
      <w:sz w:val="20"/>
      <w:szCs w:val="20"/>
    </w:rPr>
  </w:style>
  <w:style w:type="paragraph" w:styleId="8">
    <w:name w:val="annotation subject"/>
    <w:basedOn w:val="7"/>
    <w:next w:val="7"/>
    <w:link w:val="24"/>
    <w:semiHidden/>
    <w:unhideWhenUsed/>
    <w:uiPriority w:val="99"/>
    <w:rPr>
      <w:b/>
      <w:bCs/>
    </w:rPr>
  </w:style>
  <w:style w:type="paragraph" w:styleId="9">
    <w:name w:val="footer"/>
    <w:basedOn w:val="1"/>
    <w:link w:val="19"/>
    <w:semiHidden/>
    <w:unhideWhenUsed/>
    <w:uiPriority w:val="99"/>
    <w:pPr>
      <w:tabs>
        <w:tab w:val="center" w:pos="4677"/>
        <w:tab w:val="right" w:pos="9355"/>
      </w:tabs>
    </w:pPr>
  </w:style>
  <w:style w:type="paragraph" w:styleId="10">
    <w:name w:val="header"/>
    <w:basedOn w:val="1"/>
    <w:link w:val="18"/>
    <w:unhideWhenUsed/>
    <w:qFormat/>
    <w:uiPriority w:val="99"/>
    <w:pPr>
      <w:tabs>
        <w:tab w:val="center" w:pos="4677"/>
        <w:tab w:val="right" w:pos="9355"/>
      </w:tabs>
    </w:pPr>
  </w:style>
  <w:style w:type="character" w:styleId="11">
    <w:name w:val="Hyperlink"/>
    <w:uiPriority w:val="0"/>
    <w:rPr>
      <w:color w:val="0000FF"/>
      <w:u w:val="single"/>
    </w:rPr>
  </w:style>
  <w:style w:type="paragraph" w:styleId="12">
    <w:name w:val="Plain Text"/>
    <w:basedOn w:val="1"/>
    <w:link w:val="17"/>
    <w:qFormat/>
    <w:uiPriority w:val="99"/>
    <w:pPr>
      <w:spacing w:before="100" w:beforeAutospacing="1" w:after="100" w:afterAutospacing="1"/>
    </w:pPr>
    <w:rPr>
      <w:sz w:val="24"/>
      <w:szCs w:val="24"/>
      <w:lang w:val="ru-RU" w:eastAsia="ru-RU"/>
    </w:rPr>
  </w:style>
  <w:style w:type="paragraph" w:styleId="13">
    <w:name w:val="List Paragraph"/>
    <w:basedOn w:val="1"/>
    <w:qFormat/>
    <w:uiPriority w:val="34"/>
    <w:pPr>
      <w:ind w:left="708"/>
    </w:pPr>
  </w:style>
  <w:style w:type="character" w:customStyle="1" w:styleId="14">
    <w:name w:val="Текст примітки Знак"/>
    <w:basedOn w:val="2"/>
    <w:link w:val="7"/>
    <w:uiPriority w:val="99"/>
    <w:rPr>
      <w:rFonts w:ascii="Times New Roman" w:hAnsi="Times New Roman" w:eastAsia="Times New Roman" w:cs="Times New Roman"/>
      <w:sz w:val="20"/>
      <w:szCs w:val="20"/>
      <w:lang w:val="uk-UA" w:eastAsia="uk-UA"/>
    </w:rPr>
  </w:style>
  <w:style w:type="character" w:customStyle="1" w:styleId="15">
    <w:name w:val="jlqj4b"/>
    <w:basedOn w:val="2"/>
    <w:uiPriority w:val="0"/>
  </w:style>
  <w:style w:type="character" w:customStyle="1" w:styleId="16">
    <w:name w:val="Основний текст 3 Знак"/>
    <w:basedOn w:val="2"/>
    <w:link w:val="5"/>
    <w:uiPriority w:val="0"/>
    <w:rPr>
      <w:rFonts w:ascii="Times New Roman" w:hAnsi="Times New Roman" w:eastAsia="Times New Roman" w:cs="Cambria Math"/>
      <w:sz w:val="16"/>
      <w:szCs w:val="16"/>
      <w:lang w:val="uk-UA" w:eastAsia="uk-UA"/>
    </w:rPr>
  </w:style>
  <w:style w:type="character" w:customStyle="1" w:styleId="17">
    <w:name w:val="Текст Знак"/>
    <w:basedOn w:val="2"/>
    <w:link w:val="12"/>
    <w:qFormat/>
    <w:uiPriority w:val="99"/>
    <w:rPr>
      <w:rFonts w:ascii="Times New Roman" w:hAnsi="Times New Roman" w:eastAsia="Times New Roman" w:cs="Times New Roman"/>
      <w:sz w:val="24"/>
      <w:szCs w:val="24"/>
      <w:lang w:eastAsia="ru-RU"/>
    </w:rPr>
  </w:style>
  <w:style w:type="character" w:customStyle="1" w:styleId="18">
    <w:name w:val="Верхній колонтитул Знак"/>
    <w:basedOn w:val="2"/>
    <w:link w:val="10"/>
    <w:uiPriority w:val="99"/>
    <w:rPr>
      <w:rFonts w:ascii="Times New Roman" w:hAnsi="Times New Roman" w:eastAsia="Times New Roman" w:cs="Times New Roman"/>
      <w:sz w:val="28"/>
      <w:szCs w:val="28"/>
      <w:lang w:val="uk-UA" w:eastAsia="uk-UA"/>
    </w:rPr>
  </w:style>
  <w:style w:type="character" w:customStyle="1" w:styleId="19">
    <w:name w:val="Нижній колонтитул Знак"/>
    <w:basedOn w:val="2"/>
    <w:link w:val="9"/>
    <w:semiHidden/>
    <w:qFormat/>
    <w:uiPriority w:val="99"/>
    <w:rPr>
      <w:rFonts w:ascii="Times New Roman" w:hAnsi="Times New Roman" w:eastAsia="Times New Roman" w:cs="Times New Roman"/>
      <w:sz w:val="28"/>
      <w:szCs w:val="28"/>
      <w:lang w:val="uk-UA" w:eastAsia="uk-UA"/>
    </w:rPr>
  </w:style>
  <w:style w:type="paragraph" w:customStyle="1" w:styleId="20">
    <w:name w:val="Основной текст с отступом 21"/>
    <w:basedOn w:val="1"/>
    <w:qFormat/>
    <w:uiPriority w:val="0"/>
    <w:pPr>
      <w:ind w:firstLine="720"/>
      <w:jc w:val="both"/>
    </w:pPr>
    <w:rPr>
      <w:szCs w:val="20"/>
      <w:lang w:val="ru-RU" w:eastAsia="ru-RU"/>
    </w:rPr>
  </w:style>
  <w:style w:type="paragraph" w:customStyle="1" w:styleId="2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rPr>
      <w:rFonts w:ascii="Verdana" w:hAnsi="Verdana" w:cs="Verdana"/>
      <w:sz w:val="20"/>
      <w:szCs w:val="20"/>
      <w:lang w:val="en-US" w:eastAsia="en-US"/>
    </w:rPr>
  </w:style>
  <w:style w:type="character" w:customStyle="1" w:styleId="22">
    <w:name w:val="Текст у виносці Знак"/>
    <w:basedOn w:val="2"/>
    <w:link w:val="4"/>
    <w:semiHidden/>
    <w:uiPriority w:val="99"/>
    <w:rPr>
      <w:rFonts w:ascii="Segoe UI" w:hAnsi="Segoe UI" w:eastAsia="Times New Roman" w:cs="Segoe UI"/>
      <w:sz w:val="18"/>
      <w:szCs w:val="18"/>
      <w:lang w:val="uk-UA" w:eastAsia="uk-UA"/>
    </w:rPr>
  </w:style>
  <w:style w:type="paragraph" w:customStyle="1" w:styleId="23">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uk-UA" w:eastAsia="en-US" w:bidi="ar-SA"/>
    </w:rPr>
  </w:style>
  <w:style w:type="character" w:customStyle="1" w:styleId="24">
    <w:name w:val="Тема примітки Знак"/>
    <w:basedOn w:val="14"/>
    <w:link w:val="8"/>
    <w:semiHidden/>
    <w:qFormat/>
    <w:uiPriority w:val="99"/>
    <w:rPr>
      <w:rFonts w:ascii="Times New Roman" w:hAnsi="Times New Roman" w:eastAsia="Times New Roman" w:cs="Times New Roman"/>
      <w:b/>
      <w:bCs/>
      <w:sz w:val="20"/>
      <w:szCs w:val="20"/>
      <w:lang w:val="uk-UA" w:eastAsia="uk-UA"/>
    </w:rPr>
  </w:style>
  <w:style w:type="character" w:customStyle="1" w:styleId="25">
    <w:name w:val="Незакрита згадка1"/>
    <w:basedOn w:val="2"/>
    <w:semiHidden/>
    <w:unhideWhenUsed/>
    <w:uiPriority w:val="99"/>
    <w:rPr>
      <w:color w:val="605E5C"/>
      <w:shd w:val="clear" w:color="auto" w:fill="E1DFDD"/>
    </w:rPr>
  </w:style>
  <w:style w:type="paragraph" w:customStyle="1" w:styleId="26">
    <w:name w:val="x_msonormal"/>
    <w:basedOn w:val="1"/>
    <w:qFormat/>
    <w:uiPriority w:val="0"/>
    <w:pPr>
      <w:spacing w:before="100" w:beforeAutospacing="1" w:after="100" w:afterAutospacing="1"/>
    </w:pPr>
    <w:rPr>
      <w:sz w:val="24"/>
      <w:szCs w:val="24"/>
    </w:rPr>
  </w:style>
  <w:style w:type="character" w:customStyle="1" w:styleId="27">
    <w:name w:val="Незакрита згадка2"/>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968F-3E1E-4F2E-9F5E-FC4A7451060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26492</Words>
  <Characters>15101</Characters>
  <Lines>125</Lines>
  <Paragraphs>83</Paragraphs>
  <TotalTime>18</TotalTime>
  <ScaleCrop>false</ScaleCrop>
  <LinksUpToDate>false</LinksUpToDate>
  <CharactersWithSpaces>41510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2023-12-26T10:48:00Z</dcterms:created>
  <dc:creator>User</dc:creator>
  <cp:lastModifiedBy>A.Gerasimenko</cp:lastModifiedBy>
  <cp:lastPrinted>2023-08-18T05:06:00Z</cp:lastPrinted>
  <dcterms:modified xsi:type="dcterms:W3CDTF">2024-01-03T16:18:11Z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A1DF705D226A4ABBAB7D0E6EAF155A35_13</vt:lpwstr>
  </property>
</Properties>
</file>