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417" w:rsidRPr="007E0265" w:rsidRDefault="00D61143">
      <w:pPr>
        <w:spacing w:after="66" w:line="240" w:lineRule="auto"/>
        <w:ind w:left="0" w:right="34" w:firstLine="0"/>
        <w:jc w:val="right"/>
      </w:pPr>
      <w:r w:rsidRPr="007E0265">
        <w:t xml:space="preserve"> </w:t>
      </w:r>
    </w:p>
    <w:p w:rsidR="00A93417" w:rsidRPr="006055E2" w:rsidRDefault="00D61143">
      <w:pPr>
        <w:spacing w:after="1" w:line="240" w:lineRule="auto"/>
        <w:ind w:left="10" w:right="-15" w:hanging="10"/>
        <w:jc w:val="center"/>
      </w:pPr>
      <w:r w:rsidRPr="006055E2">
        <w:rPr>
          <w:b/>
        </w:rPr>
        <w:t>Державна служба статистики України</w:t>
      </w:r>
      <w:r w:rsidRPr="006055E2">
        <w:rPr>
          <w:b/>
          <w:sz w:val="24"/>
        </w:rPr>
        <w:t xml:space="preserve"> </w:t>
      </w:r>
    </w:p>
    <w:p w:rsidR="00A93417" w:rsidRPr="006055E2" w:rsidRDefault="00D61143">
      <w:pPr>
        <w:spacing w:after="0" w:line="240" w:lineRule="auto"/>
        <w:ind w:left="0" w:right="0" w:firstLine="0"/>
        <w:jc w:val="center"/>
      </w:pPr>
      <w:r w:rsidRPr="006055E2">
        <w:rPr>
          <w:b/>
          <w:i/>
        </w:rPr>
        <w:t xml:space="preserve"> </w:t>
      </w:r>
    </w:p>
    <w:p w:rsidR="00A93417" w:rsidRPr="006055E2" w:rsidRDefault="00D61143">
      <w:pPr>
        <w:spacing w:after="45" w:line="240" w:lineRule="auto"/>
        <w:ind w:left="0" w:right="0" w:firstLine="0"/>
        <w:jc w:val="center"/>
      </w:pPr>
      <w:r w:rsidRPr="006055E2">
        <w:rPr>
          <w:b/>
          <w:i/>
        </w:rPr>
        <w:t xml:space="preserve"> </w:t>
      </w:r>
    </w:p>
    <w:p w:rsidR="0044474A" w:rsidRPr="006055E2" w:rsidRDefault="0044474A" w:rsidP="00151FE7">
      <w:pPr>
        <w:pStyle w:val="Default"/>
        <w:spacing w:line="360" w:lineRule="auto"/>
        <w:ind w:left="5245"/>
        <w:rPr>
          <w:color w:val="auto"/>
          <w:sz w:val="28"/>
          <w:szCs w:val="28"/>
          <w:lang w:val="uk-UA"/>
        </w:rPr>
      </w:pPr>
      <w:r w:rsidRPr="006055E2">
        <w:rPr>
          <w:color w:val="auto"/>
          <w:sz w:val="28"/>
          <w:szCs w:val="28"/>
          <w:lang w:val="uk-UA"/>
        </w:rPr>
        <w:t>СХВАЛЕНО</w:t>
      </w:r>
    </w:p>
    <w:p w:rsidR="0044474A" w:rsidRPr="006055E2" w:rsidRDefault="0044474A" w:rsidP="00151FE7">
      <w:pPr>
        <w:pStyle w:val="Default"/>
        <w:ind w:left="5245"/>
        <w:rPr>
          <w:color w:val="auto"/>
          <w:sz w:val="28"/>
          <w:szCs w:val="28"/>
          <w:lang w:val="uk-UA"/>
        </w:rPr>
      </w:pPr>
      <w:r w:rsidRPr="006055E2">
        <w:rPr>
          <w:color w:val="auto"/>
          <w:sz w:val="28"/>
          <w:szCs w:val="28"/>
          <w:lang w:val="uk-UA"/>
        </w:rPr>
        <w:t>Рішення Комісії з питань</w:t>
      </w:r>
    </w:p>
    <w:p w:rsidR="0044474A" w:rsidRPr="00075451" w:rsidRDefault="0044474A" w:rsidP="00151FE7">
      <w:pPr>
        <w:pStyle w:val="Default"/>
        <w:ind w:left="5245"/>
        <w:rPr>
          <w:color w:val="auto"/>
          <w:sz w:val="28"/>
          <w:szCs w:val="28"/>
          <w:lang w:val="uk-UA"/>
        </w:rPr>
      </w:pPr>
      <w:r w:rsidRPr="00075451">
        <w:rPr>
          <w:color w:val="auto"/>
          <w:sz w:val="28"/>
          <w:szCs w:val="28"/>
          <w:lang w:val="uk-UA"/>
        </w:rPr>
        <w:t>удосконалення методології</w:t>
      </w:r>
    </w:p>
    <w:p w:rsidR="0044474A" w:rsidRPr="00075451" w:rsidRDefault="0044474A" w:rsidP="00151FE7">
      <w:pPr>
        <w:pStyle w:val="Default"/>
        <w:ind w:left="5245"/>
        <w:rPr>
          <w:color w:val="auto"/>
          <w:sz w:val="28"/>
          <w:szCs w:val="28"/>
          <w:lang w:val="uk-UA"/>
        </w:rPr>
      </w:pPr>
      <w:r w:rsidRPr="00075451">
        <w:rPr>
          <w:color w:val="auto"/>
          <w:sz w:val="28"/>
          <w:szCs w:val="28"/>
          <w:lang w:val="uk-UA"/>
        </w:rPr>
        <w:t>та звітної документації</w:t>
      </w:r>
    </w:p>
    <w:p w:rsidR="00A93417" w:rsidRPr="00075451" w:rsidRDefault="0044474A" w:rsidP="00151FE7">
      <w:pPr>
        <w:spacing w:after="213" w:line="240" w:lineRule="auto"/>
        <w:ind w:left="5245" w:right="0" w:firstLine="0"/>
        <w:jc w:val="left"/>
        <w:rPr>
          <w:color w:val="auto"/>
        </w:rPr>
      </w:pPr>
      <w:r w:rsidRPr="00075451">
        <w:rPr>
          <w:color w:val="auto"/>
          <w:szCs w:val="28"/>
        </w:rPr>
        <w:t xml:space="preserve">(протокол від </w:t>
      </w:r>
      <w:r w:rsidR="00075451" w:rsidRPr="00075451">
        <w:rPr>
          <w:color w:val="auto"/>
          <w:szCs w:val="28"/>
          <w:lang w:val="en-US"/>
        </w:rPr>
        <w:t>02</w:t>
      </w:r>
      <w:r w:rsidRPr="00075451">
        <w:rPr>
          <w:color w:val="auto"/>
          <w:szCs w:val="28"/>
        </w:rPr>
        <w:t>.</w:t>
      </w:r>
      <w:r w:rsidR="00075451" w:rsidRPr="00075451">
        <w:rPr>
          <w:color w:val="auto"/>
          <w:szCs w:val="28"/>
          <w:lang w:val="en-US"/>
        </w:rPr>
        <w:t>12</w:t>
      </w:r>
      <w:r w:rsidR="00075451" w:rsidRPr="00075451">
        <w:rPr>
          <w:color w:val="auto"/>
          <w:szCs w:val="28"/>
        </w:rPr>
        <w:t xml:space="preserve">.2022 № </w:t>
      </w:r>
      <w:bookmarkStart w:id="0" w:name="_GoBack"/>
      <w:bookmarkEnd w:id="0"/>
      <w:r w:rsidR="00075451" w:rsidRPr="00075451">
        <w:rPr>
          <w:color w:val="auto"/>
          <w:szCs w:val="28"/>
        </w:rPr>
        <w:t>КПУМ/29-22</w:t>
      </w:r>
      <w:r w:rsidRPr="00075451">
        <w:rPr>
          <w:color w:val="auto"/>
          <w:szCs w:val="28"/>
        </w:rPr>
        <w:t>)</w:t>
      </w:r>
    </w:p>
    <w:p w:rsidR="00A93417" w:rsidRPr="006055E2" w:rsidRDefault="00D61143">
      <w:pPr>
        <w:spacing w:after="214" w:line="240" w:lineRule="auto"/>
        <w:ind w:left="0" w:right="0" w:firstLine="0"/>
        <w:jc w:val="left"/>
      </w:pPr>
      <w:r w:rsidRPr="006055E2">
        <w:rPr>
          <w:rFonts w:ascii="Calibri" w:eastAsia="Calibri" w:hAnsi="Calibri" w:cs="Calibri"/>
          <w:sz w:val="22"/>
        </w:rPr>
        <w:t xml:space="preserve"> </w:t>
      </w:r>
    </w:p>
    <w:p w:rsidR="00A93417" w:rsidRPr="006055E2" w:rsidRDefault="00D61143">
      <w:pPr>
        <w:spacing w:after="212" w:line="240" w:lineRule="auto"/>
        <w:ind w:left="0" w:right="0" w:firstLine="0"/>
        <w:jc w:val="left"/>
      </w:pPr>
      <w:r w:rsidRPr="006055E2">
        <w:rPr>
          <w:rFonts w:ascii="Calibri" w:eastAsia="Calibri" w:hAnsi="Calibri" w:cs="Calibri"/>
          <w:sz w:val="22"/>
        </w:rPr>
        <w:t xml:space="preserve"> </w:t>
      </w:r>
    </w:p>
    <w:p w:rsidR="00A93417" w:rsidRPr="006055E2" w:rsidRDefault="00D61143">
      <w:pPr>
        <w:spacing w:after="214" w:line="240" w:lineRule="auto"/>
        <w:ind w:left="0" w:right="0" w:firstLine="0"/>
        <w:jc w:val="left"/>
      </w:pPr>
      <w:r w:rsidRPr="006055E2">
        <w:rPr>
          <w:rFonts w:ascii="Calibri" w:eastAsia="Calibri" w:hAnsi="Calibri" w:cs="Calibri"/>
          <w:sz w:val="22"/>
        </w:rPr>
        <w:t xml:space="preserve"> </w:t>
      </w:r>
    </w:p>
    <w:p w:rsidR="00A93417" w:rsidRPr="006055E2" w:rsidRDefault="00D61143">
      <w:pPr>
        <w:spacing w:after="212" w:line="240" w:lineRule="auto"/>
        <w:ind w:left="0" w:right="0" w:firstLine="0"/>
        <w:jc w:val="left"/>
      </w:pPr>
      <w:r w:rsidRPr="006055E2">
        <w:rPr>
          <w:rFonts w:ascii="Calibri" w:eastAsia="Calibri" w:hAnsi="Calibri" w:cs="Calibri"/>
          <w:sz w:val="22"/>
        </w:rPr>
        <w:t xml:space="preserve"> </w:t>
      </w:r>
    </w:p>
    <w:p w:rsidR="00A93417" w:rsidRPr="006055E2" w:rsidRDefault="00D61143">
      <w:pPr>
        <w:spacing w:after="241" w:line="240" w:lineRule="auto"/>
        <w:ind w:left="0" w:right="0" w:firstLine="0"/>
        <w:jc w:val="left"/>
      </w:pPr>
      <w:r w:rsidRPr="006055E2">
        <w:rPr>
          <w:rFonts w:ascii="Calibri" w:eastAsia="Calibri" w:hAnsi="Calibri" w:cs="Calibri"/>
          <w:sz w:val="22"/>
        </w:rPr>
        <w:t xml:space="preserve"> </w:t>
      </w:r>
    </w:p>
    <w:p w:rsidR="00A93417" w:rsidRPr="006055E2" w:rsidRDefault="00D61143">
      <w:pPr>
        <w:spacing w:after="1" w:line="240" w:lineRule="auto"/>
        <w:ind w:left="10" w:right="-15" w:hanging="10"/>
        <w:jc w:val="center"/>
      </w:pPr>
      <w:r w:rsidRPr="006055E2">
        <w:rPr>
          <w:b/>
        </w:rPr>
        <w:t xml:space="preserve">СТАНДАРТНИЙ ЗВІТ З ЯКОСТІ  </w:t>
      </w:r>
    </w:p>
    <w:p w:rsidR="00A93417" w:rsidRPr="006055E2" w:rsidRDefault="00D61143">
      <w:pPr>
        <w:spacing w:after="1" w:line="240" w:lineRule="auto"/>
        <w:ind w:left="10" w:right="-15" w:hanging="10"/>
        <w:jc w:val="center"/>
      </w:pPr>
      <w:r w:rsidRPr="006055E2">
        <w:rPr>
          <w:b/>
        </w:rPr>
        <w:t xml:space="preserve">ДЕРЖАВНОГО СТАТИСТИЧНОГО СПОСТЕРЕЖЕННЯ  </w:t>
      </w:r>
    </w:p>
    <w:p w:rsidR="00A93417" w:rsidRPr="006055E2" w:rsidRDefault="00822D12">
      <w:pPr>
        <w:spacing w:after="1" w:line="240" w:lineRule="auto"/>
        <w:ind w:left="10" w:right="-15" w:hanging="10"/>
        <w:jc w:val="center"/>
      </w:pPr>
      <w:r w:rsidRPr="006055E2">
        <w:rPr>
          <w:b/>
        </w:rPr>
        <w:t>"</w:t>
      </w:r>
      <w:r w:rsidRPr="006055E2">
        <w:rPr>
          <w:b/>
          <w:caps/>
        </w:rPr>
        <w:t>САТЕЛІТНИЙ</w:t>
      </w:r>
      <w:r w:rsidR="00D61143" w:rsidRPr="006055E2">
        <w:rPr>
          <w:b/>
        </w:rPr>
        <w:t xml:space="preserve"> РАХУНОК СОЦІАЛЬНОГО ЗАХИСТУ" </w:t>
      </w:r>
    </w:p>
    <w:p w:rsidR="00A93417" w:rsidRPr="006055E2" w:rsidRDefault="00D61143">
      <w:pPr>
        <w:spacing w:after="185" w:line="240" w:lineRule="auto"/>
        <w:ind w:left="10" w:right="-15" w:hanging="10"/>
        <w:jc w:val="center"/>
      </w:pPr>
      <w:r w:rsidRPr="006055E2">
        <w:t>1.06.00.02</w:t>
      </w:r>
      <w:r w:rsidRPr="006055E2">
        <w:rPr>
          <w:sz w:val="22"/>
        </w:rPr>
        <w:t xml:space="preserve"> </w:t>
      </w:r>
    </w:p>
    <w:p w:rsidR="00A93417" w:rsidRPr="006055E2" w:rsidRDefault="00D61143">
      <w:pPr>
        <w:spacing w:after="178" w:line="240" w:lineRule="auto"/>
        <w:ind w:left="0" w:right="0" w:firstLine="0"/>
        <w:jc w:val="center"/>
      </w:pPr>
      <w:r w:rsidRPr="006055E2">
        <w:rPr>
          <w:sz w:val="22"/>
        </w:rPr>
        <w:t xml:space="preserve"> </w:t>
      </w:r>
    </w:p>
    <w:p w:rsidR="00A93417" w:rsidRPr="006055E2" w:rsidRDefault="00D61143">
      <w:pPr>
        <w:spacing w:after="176" w:line="240" w:lineRule="auto"/>
        <w:ind w:left="0" w:right="0" w:firstLine="0"/>
        <w:jc w:val="center"/>
      </w:pPr>
      <w:r w:rsidRPr="006055E2">
        <w:rPr>
          <w:sz w:val="22"/>
        </w:rPr>
        <w:t xml:space="preserve"> </w:t>
      </w:r>
    </w:p>
    <w:p w:rsidR="00A93417" w:rsidRPr="006055E2" w:rsidRDefault="00D61143">
      <w:pPr>
        <w:spacing w:after="178" w:line="240" w:lineRule="auto"/>
        <w:ind w:left="0" w:right="0" w:firstLine="0"/>
        <w:jc w:val="center"/>
      </w:pPr>
      <w:r w:rsidRPr="006055E2">
        <w:rPr>
          <w:sz w:val="22"/>
        </w:rPr>
        <w:t xml:space="preserve"> </w:t>
      </w:r>
    </w:p>
    <w:p w:rsidR="00A93417" w:rsidRPr="006055E2" w:rsidRDefault="00D61143">
      <w:pPr>
        <w:spacing w:after="176" w:line="240" w:lineRule="auto"/>
        <w:ind w:left="0" w:right="0" w:firstLine="0"/>
        <w:jc w:val="center"/>
      </w:pPr>
      <w:r w:rsidRPr="006055E2">
        <w:rPr>
          <w:sz w:val="22"/>
        </w:rPr>
        <w:t xml:space="preserve"> </w:t>
      </w:r>
    </w:p>
    <w:p w:rsidR="00A93417" w:rsidRPr="006055E2" w:rsidRDefault="00D61143" w:rsidP="00151FE7">
      <w:pPr>
        <w:spacing w:after="178" w:line="240" w:lineRule="auto"/>
        <w:ind w:left="0" w:right="0" w:firstLine="0"/>
        <w:jc w:val="center"/>
      </w:pPr>
      <w:r w:rsidRPr="006055E2">
        <w:rPr>
          <w:sz w:val="22"/>
        </w:rPr>
        <w:t xml:space="preserve"> </w:t>
      </w:r>
    </w:p>
    <w:tbl>
      <w:tblPr>
        <w:tblW w:w="5953" w:type="dxa"/>
        <w:tblInd w:w="3936" w:type="dxa"/>
        <w:tblLayout w:type="fixed"/>
        <w:tblLook w:val="0000" w:firstRow="0" w:lastRow="0" w:firstColumn="0" w:lastColumn="0" w:noHBand="0" w:noVBand="0"/>
      </w:tblPr>
      <w:tblGrid>
        <w:gridCol w:w="2518"/>
        <w:gridCol w:w="3435"/>
      </w:tblGrid>
      <w:tr w:rsidR="00550861" w:rsidRPr="006055E2" w:rsidTr="006E6631">
        <w:trPr>
          <w:trHeight w:val="127"/>
        </w:trPr>
        <w:tc>
          <w:tcPr>
            <w:tcW w:w="2518" w:type="dxa"/>
          </w:tcPr>
          <w:p w:rsidR="00550861" w:rsidRPr="006055E2" w:rsidRDefault="00550861" w:rsidP="006E6631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6055E2">
              <w:rPr>
                <w:color w:val="auto"/>
                <w:sz w:val="28"/>
                <w:szCs w:val="28"/>
                <w:lang w:val="uk-UA"/>
              </w:rPr>
              <w:t>електронна пошта:</w:t>
            </w:r>
          </w:p>
        </w:tc>
        <w:tc>
          <w:tcPr>
            <w:tcW w:w="3435" w:type="dxa"/>
          </w:tcPr>
          <w:p w:rsidR="00550861" w:rsidRPr="006055E2" w:rsidRDefault="00550861" w:rsidP="006E6631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6055E2">
              <w:rPr>
                <w:color w:val="auto"/>
                <w:sz w:val="28"/>
                <w:szCs w:val="28"/>
                <w:lang w:val="uk-UA"/>
              </w:rPr>
              <w:t>I.Yacenko@ukrstat.gov.ua</w:t>
            </w:r>
          </w:p>
        </w:tc>
      </w:tr>
      <w:tr w:rsidR="00550861" w:rsidRPr="006055E2" w:rsidTr="006E6631">
        <w:trPr>
          <w:trHeight w:val="127"/>
        </w:trPr>
        <w:tc>
          <w:tcPr>
            <w:tcW w:w="2518" w:type="dxa"/>
          </w:tcPr>
          <w:p w:rsidR="00550861" w:rsidRPr="006055E2" w:rsidRDefault="00550861" w:rsidP="006E6631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6055E2">
              <w:rPr>
                <w:color w:val="auto"/>
                <w:sz w:val="28"/>
                <w:szCs w:val="28"/>
                <w:lang w:val="uk-UA"/>
              </w:rPr>
              <w:t>телефон:</w:t>
            </w:r>
          </w:p>
        </w:tc>
        <w:tc>
          <w:tcPr>
            <w:tcW w:w="3435" w:type="dxa"/>
          </w:tcPr>
          <w:p w:rsidR="00550861" w:rsidRPr="006055E2" w:rsidRDefault="00550861" w:rsidP="006E6631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6055E2">
              <w:rPr>
                <w:iCs/>
                <w:color w:val="auto"/>
                <w:sz w:val="28"/>
                <w:szCs w:val="28"/>
                <w:lang w:val="uk-UA"/>
              </w:rPr>
              <w:t xml:space="preserve">(044) </w:t>
            </w:r>
            <w:r w:rsidRPr="006055E2">
              <w:rPr>
                <w:color w:val="auto"/>
                <w:sz w:val="28"/>
                <w:szCs w:val="28"/>
                <w:lang w:val="uk-UA"/>
              </w:rPr>
              <w:t>287-66-22</w:t>
            </w:r>
          </w:p>
        </w:tc>
      </w:tr>
      <w:tr w:rsidR="00550861" w:rsidRPr="006055E2" w:rsidTr="006E6631">
        <w:trPr>
          <w:trHeight w:val="337"/>
        </w:trPr>
        <w:tc>
          <w:tcPr>
            <w:tcW w:w="2518" w:type="dxa"/>
          </w:tcPr>
          <w:p w:rsidR="00550861" w:rsidRPr="006055E2" w:rsidRDefault="00550861" w:rsidP="006E6631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6055E2">
              <w:rPr>
                <w:color w:val="auto"/>
                <w:sz w:val="28"/>
                <w:szCs w:val="28"/>
                <w:lang w:val="uk-UA"/>
              </w:rPr>
              <w:t>керівник ДСС:</w:t>
            </w:r>
          </w:p>
        </w:tc>
        <w:tc>
          <w:tcPr>
            <w:tcW w:w="3435" w:type="dxa"/>
          </w:tcPr>
          <w:p w:rsidR="00550861" w:rsidRPr="006055E2" w:rsidRDefault="00550861" w:rsidP="006E6631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A231E0">
              <w:rPr>
                <w:iCs/>
                <w:color w:val="auto"/>
                <w:sz w:val="28"/>
                <w:szCs w:val="28"/>
                <w:lang w:val="uk-UA"/>
              </w:rPr>
              <w:t>Бондар О.</w:t>
            </w:r>
            <w:r w:rsidR="00EC6621" w:rsidRPr="00A231E0">
              <w:rPr>
                <w:iCs/>
                <w:color w:val="auto"/>
                <w:sz w:val="28"/>
                <w:szCs w:val="28"/>
                <w:lang w:val="en-US"/>
              </w:rPr>
              <w:t xml:space="preserve"> </w:t>
            </w:r>
            <w:r w:rsidRPr="00A231E0">
              <w:rPr>
                <w:iCs/>
                <w:color w:val="auto"/>
                <w:sz w:val="28"/>
                <w:szCs w:val="28"/>
                <w:lang w:val="uk-UA"/>
              </w:rPr>
              <w:t>А.</w:t>
            </w:r>
          </w:p>
        </w:tc>
      </w:tr>
    </w:tbl>
    <w:p w:rsidR="00A93417" w:rsidRPr="006055E2" w:rsidRDefault="00D61143">
      <w:pPr>
        <w:spacing w:after="178" w:line="240" w:lineRule="auto"/>
        <w:ind w:left="0" w:right="0" w:firstLine="0"/>
        <w:jc w:val="center"/>
      </w:pPr>
      <w:r w:rsidRPr="006055E2">
        <w:rPr>
          <w:sz w:val="22"/>
        </w:rPr>
        <w:t xml:space="preserve"> </w:t>
      </w:r>
    </w:p>
    <w:p w:rsidR="00A93417" w:rsidRPr="006055E2" w:rsidRDefault="00D61143">
      <w:pPr>
        <w:spacing w:after="176" w:line="240" w:lineRule="auto"/>
        <w:ind w:left="0" w:right="0" w:firstLine="0"/>
        <w:jc w:val="center"/>
      </w:pPr>
      <w:r w:rsidRPr="006055E2">
        <w:rPr>
          <w:sz w:val="22"/>
        </w:rPr>
        <w:t xml:space="preserve"> </w:t>
      </w:r>
    </w:p>
    <w:p w:rsidR="00A93417" w:rsidRPr="006055E2" w:rsidRDefault="00D61143">
      <w:pPr>
        <w:spacing w:after="176" w:line="240" w:lineRule="auto"/>
        <w:ind w:left="0" w:right="0" w:firstLine="0"/>
        <w:jc w:val="center"/>
      </w:pPr>
      <w:r w:rsidRPr="006055E2">
        <w:rPr>
          <w:sz w:val="22"/>
        </w:rPr>
        <w:t xml:space="preserve"> </w:t>
      </w:r>
    </w:p>
    <w:p w:rsidR="00A93417" w:rsidRPr="006055E2" w:rsidRDefault="00D61143">
      <w:pPr>
        <w:spacing w:after="178" w:line="240" w:lineRule="auto"/>
        <w:ind w:left="0" w:right="0" w:firstLine="0"/>
        <w:jc w:val="center"/>
      </w:pPr>
      <w:r w:rsidRPr="006055E2">
        <w:rPr>
          <w:sz w:val="22"/>
        </w:rPr>
        <w:t xml:space="preserve"> </w:t>
      </w:r>
    </w:p>
    <w:p w:rsidR="00A93417" w:rsidRPr="006055E2" w:rsidRDefault="00D61143">
      <w:pPr>
        <w:spacing w:after="176" w:line="240" w:lineRule="auto"/>
        <w:ind w:left="0" w:right="0" w:firstLine="0"/>
        <w:jc w:val="center"/>
      </w:pPr>
      <w:r w:rsidRPr="006055E2">
        <w:rPr>
          <w:sz w:val="22"/>
        </w:rPr>
        <w:t xml:space="preserve"> </w:t>
      </w:r>
    </w:p>
    <w:p w:rsidR="00A93417" w:rsidRPr="006055E2" w:rsidRDefault="00D61143">
      <w:pPr>
        <w:spacing w:after="210" w:line="240" w:lineRule="auto"/>
        <w:ind w:left="0" w:right="0" w:firstLine="0"/>
        <w:jc w:val="center"/>
      </w:pPr>
      <w:r w:rsidRPr="006055E2">
        <w:rPr>
          <w:sz w:val="22"/>
        </w:rPr>
        <w:t xml:space="preserve"> </w:t>
      </w:r>
    </w:p>
    <w:p w:rsidR="00A93417" w:rsidRPr="006055E2" w:rsidRDefault="00550861">
      <w:pPr>
        <w:spacing w:after="3" w:line="240" w:lineRule="auto"/>
        <w:ind w:left="10" w:right="-15" w:hanging="10"/>
        <w:jc w:val="center"/>
      </w:pPr>
      <w:r w:rsidRPr="006055E2">
        <w:lastRenderedPageBreak/>
        <w:t>Київ – 2022</w:t>
      </w:r>
    </w:p>
    <w:p w:rsidR="000B0F7B" w:rsidRPr="006055E2" w:rsidRDefault="00D61143">
      <w:pPr>
        <w:spacing w:after="3" w:line="240" w:lineRule="auto"/>
        <w:ind w:left="10" w:right="-15" w:hanging="10"/>
        <w:jc w:val="center"/>
      </w:pPr>
      <w:r w:rsidRPr="006055E2">
        <w:t>ЗМІСТ</w:t>
      </w:r>
    </w:p>
    <w:p w:rsidR="00A93417" w:rsidRPr="006055E2" w:rsidRDefault="00D61143">
      <w:pPr>
        <w:spacing w:after="3" w:line="240" w:lineRule="auto"/>
        <w:ind w:left="10" w:right="-15" w:hanging="10"/>
        <w:jc w:val="center"/>
      </w:pPr>
      <w:r w:rsidRPr="006055E2">
        <w:rPr>
          <w:b/>
          <w:sz w:val="24"/>
        </w:rPr>
        <w:t xml:space="preserve"> 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236"/>
        <w:gridCol w:w="8661"/>
        <w:gridCol w:w="992"/>
      </w:tblGrid>
      <w:tr w:rsidR="00550861" w:rsidRPr="006055E2" w:rsidTr="006E6631">
        <w:trPr>
          <w:trHeight w:val="491"/>
        </w:trPr>
        <w:tc>
          <w:tcPr>
            <w:tcW w:w="236" w:type="dxa"/>
            <w:shd w:val="clear" w:color="auto" w:fill="auto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6E6631"/>
        </w:tc>
        <w:tc>
          <w:tcPr>
            <w:tcW w:w="992" w:type="dxa"/>
            <w:shd w:val="clear" w:color="auto" w:fill="auto"/>
          </w:tcPr>
          <w:p w:rsidR="00550861" w:rsidRPr="006055E2" w:rsidRDefault="00550861" w:rsidP="006E6631">
            <w:pPr>
              <w:jc w:val="right"/>
            </w:pPr>
          </w:p>
        </w:tc>
      </w:tr>
      <w:tr w:rsidR="00550861" w:rsidRPr="006055E2" w:rsidTr="006E6631">
        <w:trPr>
          <w:trHeight w:hRule="exact" w:val="397"/>
        </w:trPr>
        <w:tc>
          <w:tcPr>
            <w:tcW w:w="236" w:type="dxa"/>
            <w:shd w:val="clear" w:color="auto" w:fill="auto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0B0F7B">
            <w:pPr>
              <w:ind w:firstLine="15"/>
            </w:pPr>
            <w:r w:rsidRPr="006055E2">
              <w:t>1. Вступ……….…………………………………………….….……….…..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0861" w:rsidRPr="006055E2" w:rsidRDefault="00550861" w:rsidP="00517A7A">
            <w:pPr>
              <w:ind w:firstLine="82"/>
              <w:jc w:val="center"/>
            </w:pPr>
            <w:r w:rsidRPr="006055E2">
              <w:t>3</w:t>
            </w:r>
          </w:p>
        </w:tc>
      </w:tr>
      <w:tr w:rsidR="00550861" w:rsidRPr="006055E2" w:rsidTr="006E6631">
        <w:trPr>
          <w:trHeight w:hRule="exact" w:val="397"/>
        </w:trPr>
        <w:tc>
          <w:tcPr>
            <w:tcW w:w="236" w:type="dxa"/>
            <w:shd w:val="clear" w:color="auto" w:fill="auto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0B0F7B">
            <w:pPr>
              <w:ind w:firstLine="15"/>
            </w:pPr>
            <w:r w:rsidRPr="006055E2">
              <w:t>2. Компоненти якості державного статистичного спостереження……..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0861" w:rsidRPr="006055E2" w:rsidRDefault="00517A7A" w:rsidP="00517A7A">
            <w:pPr>
              <w:ind w:firstLine="82"/>
              <w:jc w:val="center"/>
            </w:pPr>
            <w:r w:rsidRPr="006055E2">
              <w:t>5</w:t>
            </w:r>
          </w:p>
        </w:tc>
      </w:tr>
      <w:tr w:rsidR="00550861" w:rsidRPr="006055E2" w:rsidTr="006E6631">
        <w:trPr>
          <w:trHeight w:val="340"/>
        </w:trPr>
        <w:tc>
          <w:tcPr>
            <w:tcW w:w="236" w:type="dxa"/>
            <w:shd w:val="clear" w:color="auto" w:fill="auto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0B0F7B">
            <w:pPr>
              <w:ind w:firstLine="15"/>
            </w:pPr>
            <w:r w:rsidRPr="006055E2">
              <w:t>2.1. Відповідність .............……….....................................……...............…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0861" w:rsidRPr="006055E2" w:rsidRDefault="00517A7A" w:rsidP="00517A7A">
            <w:pPr>
              <w:ind w:firstLine="82"/>
              <w:jc w:val="center"/>
            </w:pPr>
            <w:r w:rsidRPr="006055E2">
              <w:t>5</w:t>
            </w:r>
          </w:p>
        </w:tc>
      </w:tr>
      <w:tr w:rsidR="00550861" w:rsidRPr="006055E2" w:rsidTr="006E6631">
        <w:trPr>
          <w:trHeight w:val="357"/>
        </w:trPr>
        <w:tc>
          <w:tcPr>
            <w:tcW w:w="236" w:type="dxa"/>
            <w:shd w:val="clear" w:color="auto" w:fill="auto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0B0F7B">
            <w:pPr>
              <w:ind w:firstLine="15"/>
            </w:pPr>
            <w:r w:rsidRPr="006055E2">
              <w:t>2.2. Точність …..…………………………………………………….……..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0861" w:rsidRPr="006055E2" w:rsidRDefault="00550861" w:rsidP="00517A7A">
            <w:pPr>
              <w:ind w:firstLine="82"/>
              <w:jc w:val="center"/>
            </w:pPr>
            <w:r w:rsidRPr="006055E2">
              <w:t>5</w:t>
            </w:r>
          </w:p>
        </w:tc>
      </w:tr>
      <w:tr w:rsidR="00550861" w:rsidRPr="006055E2" w:rsidTr="006E6631">
        <w:trPr>
          <w:trHeight w:val="340"/>
        </w:trPr>
        <w:tc>
          <w:tcPr>
            <w:tcW w:w="236" w:type="dxa"/>
            <w:shd w:val="clear" w:color="auto" w:fill="auto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0B0F7B">
            <w:pPr>
              <w:ind w:firstLine="15"/>
            </w:pPr>
            <w:r w:rsidRPr="006055E2">
              <w:t>2.3. Своєчасність та пунктуальність .………………….………..……..…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0861" w:rsidRPr="006055E2" w:rsidRDefault="00C84034" w:rsidP="00517A7A">
            <w:pPr>
              <w:ind w:firstLine="82"/>
              <w:jc w:val="center"/>
            </w:pPr>
            <w:r w:rsidRPr="006055E2">
              <w:t>6</w:t>
            </w:r>
          </w:p>
        </w:tc>
      </w:tr>
      <w:tr w:rsidR="00550861" w:rsidRPr="006055E2" w:rsidTr="006E6631">
        <w:trPr>
          <w:trHeight w:val="345"/>
        </w:trPr>
        <w:tc>
          <w:tcPr>
            <w:tcW w:w="236" w:type="dxa"/>
            <w:shd w:val="clear" w:color="auto" w:fill="auto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0B0F7B">
            <w:pPr>
              <w:ind w:firstLine="15"/>
            </w:pPr>
            <w:r w:rsidRPr="006055E2">
              <w:t>2.4. Доступність та зрозумілість……..………………………………...…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0861" w:rsidRPr="001A5843" w:rsidRDefault="001A5843" w:rsidP="00517A7A">
            <w:pPr>
              <w:ind w:firstLine="82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550861" w:rsidRPr="006055E2" w:rsidTr="006E6631">
        <w:trPr>
          <w:trHeight w:val="340"/>
        </w:trPr>
        <w:tc>
          <w:tcPr>
            <w:tcW w:w="236" w:type="dxa"/>
            <w:shd w:val="clear" w:color="auto" w:fill="auto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0B0F7B">
            <w:pPr>
              <w:ind w:firstLine="15"/>
            </w:pPr>
            <w:r w:rsidRPr="006055E2">
              <w:t>2.5. Послідовність та зіставність.................................................................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0861" w:rsidRPr="006055E2" w:rsidRDefault="00C84034" w:rsidP="00517A7A">
            <w:pPr>
              <w:ind w:firstLine="82"/>
              <w:jc w:val="center"/>
            </w:pPr>
            <w:r w:rsidRPr="006055E2">
              <w:t>7</w:t>
            </w:r>
          </w:p>
        </w:tc>
      </w:tr>
      <w:tr w:rsidR="00550861" w:rsidRPr="006055E2" w:rsidTr="006E6631">
        <w:trPr>
          <w:trHeight w:val="352"/>
        </w:trPr>
        <w:tc>
          <w:tcPr>
            <w:tcW w:w="236" w:type="dxa"/>
            <w:shd w:val="clear" w:color="auto" w:fill="auto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0B0F7B">
            <w:pPr>
              <w:ind w:firstLine="15"/>
            </w:pPr>
            <w:r w:rsidRPr="006055E2">
              <w:t>2.6. Оцінка потреб та очікувань користувачів.…………………….…….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0861" w:rsidRPr="006055E2" w:rsidRDefault="00C84034" w:rsidP="00517A7A">
            <w:pPr>
              <w:ind w:firstLine="82"/>
              <w:jc w:val="center"/>
            </w:pPr>
            <w:r w:rsidRPr="006055E2">
              <w:t>8</w:t>
            </w:r>
          </w:p>
        </w:tc>
      </w:tr>
      <w:tr w:rsidR="00550861" w:rsidRPr="006055E2" w:rsidTr="006E6631">
        <w:trPr>
          <w:trHeight w:val="344"/>
        </w:trPr>
        <w:tc>
          <w:tcPr>
            <w:tcW w:w="236" w:type="dxa"/>
            <w:shd w:val="clear" w:color="auto" w:fill="auto"/>
            <w:vAlign w:val="center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0B0F7B">
            <w:pPr>
              <w:ind w:firstLine="15"/>
            </w:pPr>
            <w:r w:rsidRPr="006055E2">
              <w:t xml:space="preserve">2.7. Ефективність, витрати та навантаження на респондентів…………. 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50861" w:rsidRPr="006055E2" w:rsidRDefault="00C84034" w:rsidP="00517A7A">
            <w:pPr>
              <w:ind w:firstLine="82"/>
              <w:jc w:val="center"/>
            </w:pPr>
            <w:r w:rsidRPr="006055E2">
              <w:t>9</w:t>
            </w:r>
          </w:p>
        </w:tc>
      </w:tr>
      <w:tr w:rsidR="00550861" w:rsidRPr="006055E2" w:rsidTr="006E6631">
        <w:trPr>
          <w:trHeight w:val="397"/>
        </w:trPr>
        <w:tc>
          <w:tcPr>
            <w:tcW w:w="236" w:type="dxa"/>
            <w:shd w:val="clear" w:color="auto" w:fill="auto"/>
            <w:vAlign w:val="center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0B0F7B">
            <w:pPr>
              <w:ind w:firstLine="15"/>
            </w:pPr>
            <w:r w:rsidRPr="006055E2">
              <w:t>2.8. Конфіденційність, прозорість та захист……………………………..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0861" w:rsidRPr="006055E2" w:rsidRDefault="00C84034" w:rsidP="00517A7A">
            <w:pPr>
              <w:ind w:firstLine="82"/>
              <w:jc w:val="center"/>
            </w:pPr>
            <w:r w:rsidRPr="006055E2">
              <w:t>9</w:t>
            </w:r>
          </w:p>
        </w:tc>
      </w:tr>
      <w:tr w:rsidR="00550861" w:rsidRPr="006055E2" w:rsidTr="006E6631">
        <w:trPr>
          <w:trHeight w:val="414"/>
        </w:trPr>
        <w:tc>
          <w:tcPr>
            <w:tcW w:w="236" w:type="dxa"/>
            <w:shd w:val="clear" w:color="auto" w:fill="auto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  <w:vAlign w:val="center"/>
          </w:tcPr>
          <w:p w:rsidR="00550861" w:rsidRPr="006055E2" w:rsidRDefault="00550861" w:rsidP="000B0F7B">
            <w:pPr>
              <w:ind w:firstLine="15"/>
            </w:pPr>
            <w:r w:rsidRPr="006055E2">
              <w:t>3. Заключна частина……</w:t>
            </w:r>
            <w:r w:rsidRPr="006055E2">
              <w:rPr>
                <w:bCs/>
              </w:rPr>
              <w:t>……………………………………………….....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50861" w:rsidRPr="006055E2" w:rsidRDefault="00C84034" w:rsidP="00517A7A">
            <w:pPr>
              <w:ind w:firstLine="82"/>
              <w:jc w:val="center"/>
            </w:pPr>
            <w:r w:rsidRPr="006055E2">
              <w:t>10</w:t>
            </w:r>
          </w:p>
        </w:tc>
      </w:tr>
      <w:tr w:rsidR="00550861" w:rsidRPr="006055E2" w:rsidTr="006E6631">
        <w:trPr>
          <w:trHeight w:hRule="exact" w:val="397"/>
        </w:trPr>
        <w:tc>
          <w:tcPr>
            <w:tcW w:w="236" w:type="dxa"/>
            <w:shd w:val="clear" w:color="auto" w:fill="auto"/>
          </w:tcPr>
          <w:p w:rsidR="00550861" w:rsidRPr="006055E2" w:rsidRDefault="00550861" w:rsidP="006E6631"/>
        </w:tc>
        <w:tc>
          <w:tcPr>
            <w:tcW w:w="8661" w:type="dxa"/>
            <w:shd w:val="clear" w:color="auto" w:fill="auto"/>
          </w:tcPr>
          <w:p w:rsidR="00550861" w:rsidRPr="006055E2" w:rsidRDefault="00550861" w:rsidP="006E6631"/>
        </w:tc>
        <w:tc>
          <w:tcPr>
            <w:tcW w:w="992" w:type="dxa"/>
            <w:shd w:val="clear" w:color="auto" w:fill="auto"/>
          </w:tcPr>
          <w:p w:rsidR="00550861" w:rsidRPr="006055E2" w:rsidRDefault="00550861" w:rsidP="006E6631">
            <w:pPr>
              <w:jc w:val="center"/>
              <w:rPr>
                <w:highlight w:val="yellow"/>
              </w:rPr>
            </w:pPr>
          </w:p>
        </w:tc>
      </w:tr>
    </w:tbl>
    <w:p w:rsidR="00A93417" w:rsidRPr="006055E2" w:rsidRDefault="00D61143">
      <w:pPr>
        <w:spacing w:after="0" w:line="240" w:lineRule="auto"/>
        <w:ind w:left="0" w:right="0" w:firstLine="0"/>
        <w:jc w:val="left"/>
      </w:pPr>
      <w:r w:rsidRPr="006055E2">
        <w:br w:type="page"/>
      </w:r>
    </w:p>
    <w:p w:rsidR="00A93417" w:rsidRPr="006055E2" w:rsidRDefault="00D61143">
      <w:pPr>
        <w:pStyle w:val="1"/>
        <w:spacing w:after="409"/>
        <w:ind w:left="281" w:hanging="281"/>
      </w:pPr>
      <w:r w:rsidRPr="006055E2">
        <w:lastRenderedPageBreak/>
        <w:t>Вступ</w:t>
      </w:r>
      <w:r w:rsidRPr="006055E2">
        <w:rPr>
          <w:i w:val="0"/>
          <w:sz w:val="32"/>
        </w:rPr>
        <w:t xml:space="preserve"> </w:t>
      </w:r>
    </w:p>
    <w:p w:rsidR="00A93417" w:rsidRPr="006055E2" w:rsidRDefault="00D61143">
      <w:r w:rsidRPr="006055E2">
        <w:t>Стандартний звіт з якості державного статистичного спостереження "</w:t>
      </w:r>
      <w:r w:rsidR="002E4518" w:rsidRPr="006055E2">
        <w:t xml:space="preserve">Сателітний рахунок </w:t>
      </w:r>
      <w:r w:rsidRPr="006055E2">
        <w:t xml:space="preserve">соціального захисту" (далі – звіт)  підготовлено з метою інформування користувачів стосовно основних критеріїв та індикаторів якості його результатів. Звіт містить загальну інформацію, яка не залежить від результатів за конкретний період державного статистичного спостереження, а визначена чинною методологією, процедурами обробки даних тощо.  </w:t>
      </w:r>
    </w:p>
    <w:p w:rsidR="00A93417" w:rsidRPr="006055E2" w:rsidRDefault="00D61143">
      <w:r w:rsidRPr="006055E2">
        <w:t>Цей звіт є відправною точкою для підготовки більш детальних стандартних звітів з якості державного статистичного спостереження "</w:t>
      </w:r>
      <w:r w:rsidR="002E4518" w:rsidRPr="006055E2">
        <w:t xml:space="preserve">Сателітний рахунок </w:t>
      </w:r>
      <w:r w:rsidRPr="006055E2">
        <w:t xml:space="preserve">соціального захисту" (далі – ДСС, спостереження), орієнтованих на широке коло споживачів (як на користувачів, так і на виробників статистичної інформації), задоволення їхніх потреб в інформації щодо якості даних і процесів спостереження. </w:t>
      </w:r>
    </w:p>
    <w:p w:rsidR="00A93417" w:rsidRPr="006055E2" w:rsidRDefault="00D61143">
      <w:r w:rsidRPr="006055E2">
        <w:t xml:space="preserve">Наведені компоненти якості, такі як відповідність, точність, своєчасність та пунктуальність, доступність та зрозумілість, послідовність та зіставність, відповідають принципам виробництва статистичної продукції, які визначено розділом </w:t>
      </w:r>
      <w:r w:rsidR="0092306A" w:rsidRPr="006055E2">
        <w:rPr>
          <w:color w:val="auto"/>
          <w:szCs w:val="28"/>
        </w:rPr>
        <w:t>ІІІ Принципів діяльності органів державної статистики, затверджених наказом Держстату від 17.08.2018 № 170.</w:t>
      </w:r>
      <w:r w:rsidRPr="006055E2">
        <w:t xml:space="preserve"> </w:t>
      </w:r>
    </w:p>
    <w:p w:rsidR="00EE625A" w:rsidRPr="006055E2" w:rsidRDefault="00EE625A" w:rsidP="00EE625A">
      <w:pPr>
        <w:ind w:firstLine="567"/>
      </w:pPr>
      <w:r w:rsidRPr="006055E2">
        <w:t xml:space="preserve">Метою проведення ДСС є отримання інформації щодо фінансування системи соціального захисту в Україні. </w:t>
      </w:r>
    </w:p>
    <w:p w:rsidR="00A93417" w:rsidRPr="006E0291" w:rsidRDefault="00D61143">
      <w:r w:rsidRPr="006E0291">
        <w:t>Спостереження запроваджене у 2010 році на виконання пункту 39 Плану дій щодо реалізації Стратегії розвитку державної статистики України на період до 2012 року, затвердженої розпорядженням Кабінету Міністрів України від 05.11.2008 № 1413-р</w:t>
      </w:r>
      <w:r w:rsidR="00AE2300" w:rsidRPr="006E0291">
        <w:t>.</w:t>
      </w:r>
      <w:r w:rsidRPr="006E0291">
        <w:t xml:space="preserve"> </w:t>
      </w:r>
    </w:p>
    <w:p w:rsidR="00A93417" w:rsidRPr="006E0291" w:rsidRDefault="00D61143" w:rsidP="005A39F0">
      <w:pPr>
        <w:spacing w:after="47" w:line="236" w:lineRule="auto"/>
        <w:ind w:left="10" w:right="26" w:hanging="10"/>
        <w:jc w:val="center"/>
      </w:pPr>
      <w:r w:rsidRPr="006E0291">
        <w:t xml:space="preserve">ДСС відповідно до Довідника розділів статистики належить до розділу </w:t>
      </w:r>
    </w:p>
    <w:p w:rsidR="00A93417" w:rsidRPr="006E0291" w:rsidRDefault="00D61143">
      <w:pPr>
        <w:ind w:firstLine="0"/>
      </w:pPr>
      <w:r w:rsidRPr="006E0291">
        <w:t xml:space="preserve">1.06 "Соціальний захист". </w:t>
      </w:r>
    </w:p>
    <w:p w:rsidR="00D05492" w:rsidRPr="006055E2" w:rsidRDefault="00D05492" w:rsidP="00D05492">
      <w:pPr>
        <w:spacing w:afterLines="40" w:after="96"/>
        <w:ind w:firstLine="567"/>
      </w:pPr>
      <w:r w:rsidRPr="006E0291">
        <w:t>Нормативно-правовою основою проведення спостереження є Закон Ук</w:t>
      </w:r>
      <w:r w:rsidR="00EC6621">
        <w:t xml:space="preserve">раїни "Про державну </w:t>
      </w:r>
      <w:r w:rsidR="00EC6621" w:rsidRPr="00A231E0">
        <w:t>статистику"</w:t>
      </w:r>
      <w:r w:rsidRPr="00A231E0">
        <w:t xml:space="preserve"> та відповідає</w:t>
      </w:r>
      <w:r w:rsidRPr="006E0291">
        <w:t xml:space="preserve"> зобов’язанням України щодо імплементації статті 356 Глави 5 "Статистика" розділу V Угоди про асоціацію з ЄС у частині питань щодо надання вчасних та надійних даних, які можливо порівняти на міжнародному рівні</w:t>
      </w:r>
      <w:r w:rsidR="007F30C4" w:rsidRPr="006E0291">
        <w:t>, щорічний план державних статистичних спостережень, затверджений розпорядженням Кабінету Міністрів України.</w:t>
      </w:r>
    </w:p>
    <w:p w:rsidR="00A93417" w:rsidRPr="006055E2" w:rsidRDefault="00D61143">
      <w:r w:rsidRPr="006055E2">
        <w:t>ДСС проводиться з урахуванням положень Регламенту Європейського парламенту та Ради (ЄС) № 458/2007 від 25.04.2007 щодо Європейської системи інтегрованої статистики соціального захисту (ESSPROS), а також Регламентів Комісії (ЄС) № 110/2011 від 08.02.2011, № 1322/2007 від 12.11.2007, № 10/2008 від 08.01.2008, № 263/2011 від 17.03.2011, які передбачають імплементацію Регламенту Європейського парламенту та Ради (ЄС) № 458/2007 від 25.04.2007</w:t>
      </w:r>
      <w:r w:rsidR="008D43B0" w:rsidRPr="006055E2">
        <w:t xml:space="preserve"> (</w:t>
      </w:r>
      <w:hyperlink r:id="rId7" w:history="1">
        <w:r w:rsidR="008D43B0" w:rsidRPr="006055E2">
          <w:rPr>
            <w:rStyle w:val="a7"/>
          </w:rPr>
          <w:t>https://ec.europa.eu/eurostat/web/social-protection/legislation</w:t>
        </w:r>
      </w:hyperlink>
      <w:r w:rsidR="008D43B0" w:rsidRPr="006055E2">
        <w:t>)</w:t>
      </w:r>
      <w:r w:rsidRPr="006055E2">
        <w:t xml:space="preserve">.  </w:t>
      </w:r>
    </w:p>
    <w:p w:rsidR="00A93417" w:rsidRPr="006055E2" w:rsidRDefault="00D61143" w:rsidP="00D05492">
      <w:pPr>
        <w:spacing w:after="54"/>
      </w:pPr>
      <w:r w:rsidRPr="006055E2">
        <w:lastRenderedPageBreak/>
        <w:t>Державне статистичне спостереження "</w:t>
      </w:r>
      <w:r w:rsidR="00822D12" w:rsidRPr="006055E2">
        <w:t xml:space="preserve">Сателітний рахунок </w:t>
      </w:r>
      <w:r w:rsidRPr="006055E2">
        <w:t>соціального захисту" проводиться відповідно до</w:t>
      </w:r>
      <w:r w:rsidRPr="006055E2">
        <w:rPr>
          <w:color w:val="0070C0"/>
        </w:rPr>
        <w:t xml:space="preserve"> </w:t>
      </w:r>
      <w:r w:rsidRPr="006055E2">
        <w:t>Методологічних положень щодо складання допоміжних   (сателітних)   рахунків    соціального   захисту  в  Україні   (далі –  Методологічні положення), затверджених наказом Держкомстату від 15.02.2010 № 56</w:t>
      </w:r>
      <w:r w:rsidR="00E0774A">
        <w:t xml:space="preserve"> і розміщених на офіційному веб</w:t>
      </w:r>
      <w:r w:rsidRPr="006055E2">
        <w:t xml:space="preserve">сайті Держстату в розділі "Методологія та класифікатори"/"Статистична методологія"/"Демографічна та соціальна статистика"/"Соціальний захист". </w:t>
      </w:r>
    </w:p>
    <w:p w:rsidR="00A93417" w:rsidRPr="009231D2" w:rsidRDefault="00D61143">
      <w:pPr>
        <w:ind w:left="566" w:firstLine="0"/>
      </w:pPr>
      <w:r w:rsidRPr="009231D2">
        <w:t xml:space="preserve">Спостереження здійснюється </w:t>
      </w:r>
      <w:r w:rsidR="00FA0982" w:rsidRPr="009231D2">
        <w:t>з урахуванням</w:t>
      </w:r>
      <w:r w:rsidRPr="009231D2">
        <w:t xml:space="preserve">: </w:t>
      </w:r>
    </w:p>
    <w:p w:rsidR="00350325" w:rsidRPr="00531301" w:rsidRDefault="00D61143">
      <w:r w:rsidRPr="009231D2">
        <w:t xml:space="preserve"> </w:t>
      </w:r>
      <w:r w:rsidR="00FA0982" w:rsidRPr="009231D2">
        <w:t xml:space="preserve">інформації </w:t>
      </w:r>
      <w:r w:rsidR="00350325" w:rsidRPr="009231D2">
        <w:t>ДСС</w:t>
      </w:r>
      <w:r w:rsidRPr="009231D2">
        <w:t xml:space="preserve"> 1.04.00.02 "</w:t>
      </w:r>
      <w:r w:rsidR="00822D12" w:rsidRPr="009231D2">
        <w:t>Сателітний рахунок</w:t>
      </w:r>
      <w:r w:rsidR="00531301">
        <w:t xml:space="preserve"> охорони здоров’я";</w:t>
      </w:r>
    </w:p>
    <w:p w:rsidR="00350325" w:rsidRPr="006055E2" w:rsidRDefault="00D61143">
      <w:r w:rsidRPr="00A231E0">
        <w:t>адміністративн</w:t>
      </w:r>
      <w:r w:rsidR="00EC6621" w:rsidRPr="00A231E0">
        <w:t>их</w:t>
      </w:r>
      <w:r w:rsidRPr="00A231E0">
        <w:t xml:space="preserve"> дан</w:t>
      </w:r>
      <w:r w:rsidR="00EC6621" w:rsidRPr="00A231E0">
        <w:t>их</w:t>
      </w:r>
      <w:r w:rsidR="00350325" w:rsidRPr="00A231E0">
        <w:t>:</w:t>
      </w:r>
      <w:r w:rsidRPr="00A231E0">
        <w:t xml:space="preserve"> Міністерства</w:t>
      </w:r>
      <w:r w:rsidRPr="006055E2">
        <w:t xml:space="preserve"> соціальної політики – звітів про де</w:t>
      </w:r>
      <w:r w:rsidR="001642A2" w:rsidRPr="006055E2">
        <w:t>ржавну допомогу сім’ям з дітьми,</w:t>
      </w:r>
      <w:r w:rsidRPr="006055E2">
        <w:t xml:space="preserve"> про надання державної соціальної допомоги інвалідам</w:t>
      </w:r>
      <w:r w:rsidR="001642A2" w:rsidRPr="006055E2">
        <w:t xml:space="preserve"> з дитинства та дітям-інвалідам,</w:t>
      </w:r>
      <w:r w:rsidRPr="006055E2">
        <w:t xml:space="preserve"> про надання державної соціальної допомоги особам, які не мають права на пенсію, особам з інв</w:t>
      </w:r>
      <w:r w:rsidR="001642A2" w:rsidRPr="006055E2">
        <w:t>алідністю та допомоги на догляд,</w:t>
      </w:r>
      <w:r w:rsidRPr="006055E2">
        <w:t xml:space="preserve"> про надання державної соціальної допомоги малозабезпеченим сім’ям; </w:t>
      </w:r>
    </w:p>
    <w:p w:rsidR="00350325" w:rsidRPr="006055E2" w:rsidRDefault="00D61143">
      <w:r w:rsidRPr="006055E2">
        <w:t xml:space="preserve">Державної казначейської служби – звітів про виконання державного та місцевих бюджетів; </w:t>
      </w:r>
    </w:p>
    <w:p w:rsidR="001642A2" w:rsidRPr="006055E2" w:rsidRDefault="00D61143">
      <w:r w:rsidRPr="006055E2">
        <w:t xml:space="preserve">Пенсійного фонду – звіту про виконання бюджету Пенсійного фонду; </w:t>
      </w:r>
    </w:p>
    <w:p w:rsidR="001642A2" w:rsidRPr="00A231E0" w:rsidRDefault="00D61143">
      <w:r w:rsidRPr="006055E2">
        <w:t xml:space="preserve">Фонду соціального страхування – звіту про виконання бюджету Фонду </w:t>
      </w:r>
      <w:r w:rsidRPr="00A231E0">
        <w:t xml:space="preserve">соціального страхування; </w:t>
      </w:r>
    </w:p>
    <w:p w:rsidR="001642A2" w:rsidRPr="00A231E0" w:rsidRDefault="001642A2">
      <w:r w:rsidRPr="00A231E0">
        <w:t>Фонду загальнообов'язкового державного соціального страхування України на випадок безробіття – звіту про виконання бюджету Фонду загальнообов'язкового державного соціального страхування України на випадок безробіття</w:t>
      </w:r>
      <w:r w:rsidR="00EC6621" w:rsidRPr="00A231E0">
        <w:t>.</w:t>
      </w:r>
    </w:p>
    <w:p w:rsidR="00A93417" w:rsidRPr="00A231E0" w:rsidRDefault="00D61143">
      <w:r w:rsidRPr="00A231E0">
        <w:t xml:space="preserve">Основними статистичними публікаціями, </w:t>
      </w:r>
      <w:r w:rsidR="00EC6621" w:rsidRPr="00A231E0">
        <w:rPr>
          <w:spacing w:val="-4"/>
        </w:rPr>
        <w:t>в яких</w:t>
      </w:r>
      <w:r w:rsidR="00F947AB" w:rsidRPr="00A231E0">
        <w:rPr>
          <w:spacing w:val="-4"/>
        </w:rPr>
        <w:t xml:space="preserve"> поширюються дані ДСС, є публікація даних </w:t>
      </w:r>
      <w:r w:rsidR="00EC6621" w:rsidRPr="00A231E0">
        <w:t>на офіційному веб</w:t>
      </w:r>
      <w:r w:rsidR="00F947AB" w:rsidRPr="00A231E0">
        <w:t>сайті Держстату (</w:t>
      </w:r>
      <w:hyperlink r:id="rId8" w:history="1">
        <w:r w:rsidR="00F947AB" w:rsidRPr="00A231E0">
          <w:rPr>
            <w:rStyle w:val="a7"/>
            <w:color w:val="auto"/>
          </w:rPr>
          <w:t>www.ukrstat.gov.ua</w:t>
        </w:r>
      </w:hyperlink>
      <w:r w:rsidR="00F947AB" w:rsidRPr="00A231E0">
        <w:t>) у розділі "</w:t>
      </w:r>
      <w:r w:rsidR="00F947AB" w:rsidRPr="00A231E0">
        <w:rPr>
          <w:spacing w:val="-4"/>
        </w:rPr>
        <w:t xml:space="preserve">Демографічна та соціальна статистика"/"Соціальний захист"/"Сателітний рахунок </w:t>
      </w:r>
      <w:r w:rsidR="00E33D1C" w:rsidRPr="00A231E0">
        <w:rPr>
          <w:spacing w:val="-4"/>
        </w:rPr>
        <w:t>соціального захисту</w:t>
      </w:r>
      <w:r w:rsidR="00F947AB" w:rsidRPr="00A231E0">
        <w:rPr>
          <w:spacing w:val="-4"/>
        </w:rPr>
        <w:t xml:space="preserve"> в Україні"</w:t>
      </w:r>
      <w:r w:rsidRPr="00A231E0">
        <w:t xml:space="preserve">. </w:t>
      </w:r>
    </w:p>
    <w:p w:rsidR="00597708" w:rsidRPr="006055E2" w:rsidRDefault="0010709D">
      <w:r w:rsidRPr="00A231E0">
        <w:t>У рамках співпраці з міжнародними організаціями</w:t>
      </w:r>
      <w:r w:rsidRPr="00A231E0">
        <w:rPr>
          <w:spacing w:val="-6"/>
        </w:rPr>
        <w:t xml:space="preserve"> дані, отримані за результатами ДСС</w:t>
      </w:r>
      <w:r w:rsidR="00EC6621" w:rsidRPr="00A231E0">
        <w:rPr>
          <w:spacing w:val="-6"/>
          <w:lang w:val="ru-RU"/>
        </w:rPr>
        <w:t>,</w:t>
      </w:r>
      <w:r w:rsidRPr="00A231E0">
        <w:rPr>
          <w:spacing w:val="-6"/>
        </w:rPr>
        <w:t xml:space="preserve"> </w:t>
      </w:r>
      <w:r w:rsidR="00D61143" w:rsidRPr="00A231E0">
        <w:t>використовуються для заповнення запитальник</w:t>
      </w:r>
      <w:r w:rsidR="000A0C01" w:rsidRPr="00A231E0">
        <w:t>а</w:t>
      </w:r>
      <w:r w:rsidR="00D61143" w:rsidRPr="00A231E0">
        <w:t xml:space="preserve"> Євростату, який заповнюється статистични</w:t>
      </w:r>
      <w:r w:rsidR="00EC6621" w:rsidRPr="00A231E0">
        <w:t>ми службами європейських країн у</w:t>
      </w:r>
      <w:r w:rsidR="00D61143" w:rsidRPr="00A231E0">
        <w:t xml:space="preserve"> рамках статистичного співробітництва.</w:t>
      </w:r>
      <w:r w:rsidR="00D61143" w:rsidRPr="006055E2">
        <w:t xml:space="preserve"> </w:t>
      </w:r>
    </w:p>
    <w:p w:rsidR="00A93417" w:rsidRPr="006055E2" w:rsidRDefault="00D61143">
      <w:r w:rsidRPr="006055E2">
        <w:t xml:space="preserve">На запити користувачів надається наявна статистична інформація за результатами спостереження у зведеному вигляді на паперових, електронних носіях, засобами зв'язку, в порядку та на умовах, визначених чинним законодавством. </w:t>
      </w:r>
    </w:p>
    <w:p w:rsidR="00A93417" w:rsidRPr="006055E2" w:rsidRDefault="00D61143">
      <w:pPr>
        <w:spacing w:after="62" w:line="240" w:lineRule="auto"/>
        <w:ind w:left="566" w:right="0" w:firstLine="0"/>
        <w:jc w:val="left"/>
      </w:pPr>
      <w:r w:rsidRPr="006055E2">
        <w:rPr>
          <w:color w:val="0070C0"/>
          <w:sz w:val="12"/>
        </w:rPr>
        <w:t xml:space="preserve"> </w:t>
      </w:r>
    </w:p>
    <w:p w:rsidR="00A93417" w:rsidRPr="006055E2" w:rsidRDefault="00D61143">
      <w:pPr>
        <w:pStyle w:val="1"/>
        <w:spacing w:after="168" w:line="240" w:lineRule="auto"/>
        <w:ind w:left="1096" w:hanging="281"/>
        <w:jc w:val="left"/>
      </w:pPr>
      <w:r w:rsidRPr="006055E2">
        <w:lastRenderedPageBreak/>
        <w:t xml:space="preserve">Компоненти якості державного статистичного спостереження </w:t>
      </w:r>
    </w:p>
    <w:p w:rsidR="00A93417" w:rsidRPr="006055E2" w:rsidRDefault="00D61143">
      <w:pPr>
        <w:pStyle w:val="2"/>
        <w:ind w:left="492" w:hanging="492"/>
      </w:pPr>
      <w:r w:rsidRPr="006055E2">
        <w:t xml:space="preserve">Відповідність </w:t>
      </w:r>
    </w:p>
    <w:p w:rsidR="00A93417" w:rsidRDefault="00D61143">
      <w:pPr>
        <w:spacing w:after="164" w:line="236" w:lineRule="auto"/>
        <w:ind w:right="27"/>
        <w:rPr>
          <w:i/>
        </w:rPr>
      </w:pPr>
      <w:r w:rsidRPr="006055E2">
        <w:rPr>
          <w:i/>
        </w:rPr>
        <w:t>Відповідність –</w:t>
      </w:r>
      <w:r w:rsidRPr="006055E2">
        <w:t xml:space="preserve"> </w:t>
      </w:r>
      <w:r w:rsidRPr="006055E2">
        <w:rPr>
          <w:i/>
        </w:rPr>
        <w:t xml:space="preserve">це ступінь, з яким результати державних статистичних спостережень задовольняють поточні та потенційні потреби користувачів. </w:t>
      </w:r>
    </w:p>
    <w:p w:rsidR="000B41C1" w:rsidRPr="00D36C69" w:rsidRDefault="00780865">
      <w:pPr>
        <w:spacing w:after="164" w:line="236" w:lineRule="auto"/>
        <w:ind w:right="27"/>
      </w:pPr>
      <w:r w:rsidRPr="00D36C69">
        <w:t>ДСС запроваджено для задоволення потреб користувачів статистичної інформації – органів державної влади, науковців і дослідників, міжнародних організацій</w:t>
      </w:r>
      <w:r w:rsidR="00EA171D" w:rsidRPr="00D36C69">
        <w:t xml:space="preserve"> для прийняття ними рішень у сфері соціального захисту населення.</w:t>
      </w:r>
      <w:r w:rsidRPr="00D36C69">
        <w:t xml:space="preserve"> </w:t>
      </w:r>
    </w:p>
    <w:p w:rsidR="00DB1E00" w:rsidRPr="00DB1E00" w:rsidRDefault="00DB1E00">
      <w:pPr>
        <w:spacing w:after="164" w:line="236" w:lineRule="auto"/>
        <w:ind w:right="27"/>
      </w:pPr>
      <w:r w:rsidRPr="00D36C69">
        <w:t>Результати ДСС використовуються для здійснення</w:t>
      </w:r>
      <w:r w:rsidR="00BB1D7B" w:rsidRPr="00D36C69">
        <w:t xml:space="preserve"> </w:t>
      </w:r>
      <w:r w:rsidR="00C321B4" w:rsidRPr="00D36C69">
        <w:t>аналізу існуючої сфери соціального захисту населення країни та впровадження нових програм підтримки рівня життя соціал</w:t>
      </w:r>
      <w:r w:rsidR="00E40BCA" w:rsidRPr="00D36C69">
        <w:t>ьно незахищених верств громадян.</w:t>
      </w:r>
    </w:p>
    <w:p w:rsidR="00A93417" w:rsidRPr="006055E2" w:rsidRDefault="00D61143">
      <w:pPr>
        <w:spacing w:after="52"/>
        <w:ind w:left="566" w:firstLine="0"/>
      </w:pPr>
      <w:r w:rsidRPr="006055E2">
        <w:t xml:space="preserve">Основними статистичними показниками ДСС є: </w:t>
      </w:r>
    </w:p>
    <w:p w:rsidR="00A93417" w:rsidRPr="006055E2" w:rsidRDefault="000A0C01">
      <w:pPr>
        <w:spacing w:after="54"/>
        <w:ind w:left="566" w:firstLine="0"/>
      </w:pPr>
      <w:r w:rsidRPr="006055E2">
        <w:t>н</w:t>
      </w:r>
      <w:r w:rsidR="00D61143" w:rsidRPr="006055E2">
        <w:t xml:space="preserve">адходження на соціальний захист; </w:t>
      </w:r>
    </w:p>
    <w:p w:rsidR="00A93417" w:rsidRPr="006055E2" w:rsidRDefault="000A0C01">
      <w:pPr>
        <w:spacing w:after="54"/>
      </w:pPr>
      <w:r w:rsidRPr="006055E2">
        <w:t>в</w:t>
      </w:r>
      <w:r w:rsidR="00D61143" w:rsidRPr="006055E2">
        <w:t xml:space="preserve">идатки на соціальний захист за функціями: "Захворювання/медичне обслуговування", "Інвалідність", "Похилий вік", "Утриманці, що пережили годувальників", "Сім’я/діти", "Безробіття", "Житло", "Соціальна ізоляція". </w:t>
      </w:r>
    </w:p>
    <w:p w:rsidR="000A0C01" w:rsidRPr="006055E2" w:rsidRDefault="00EF6681" w:rsidP="00EF6681">
      <w:pPr>
        <w:pStyle w:val="Default"/>
        <w:spacing w:before="120" w:after="60"/>
        <w:ind w:firstLine="567"/>
        <w:jc w:val="both"/>
        <w:rPr>
          <w:color w:val="auto"/>
          <w:sz w:val="28"/>
          <w:szCs w:val="28"/>
          <w:lang w:val="uk-UA"/>
        </w:rPr>
      </w:pPr>
      <w:r w:rsidRPr="006055E2">
        <w:rPr>
          <w:color w:val="auto"/>
          <w:sz w:val="28"/>
          <w:szCs w:val="28"/>
          <w:lang w:val="uk-UA"/>
        </w:rPr>
        <w:t xml:space="preserve">Одиницею спостереження є інституційна одиниця. </w:t>
      </w:r>
      <w:r w:rsidR="000A0C01" w:rsidRPr="006055E2">
        <w:rPr>
          <w:color w:val="auto"/>
          <w:sz w:val="28"/>
          <w:szCs w:val="28"/>
          <w:lang w:val="uk-UA"/>
        </w:rPr>
        <w:t>ДСС охоплює галузь соціального захисту країни.</w:t>
      </w:r>
    </w:p>
    <w:p w:rsidR="00EF6681" w:rsidRPr="00A231E0" w:rsidRDefault="00FA0982" w:rsidP="00EF6681">
      <w:pPr>
        <w:pStyle w:val="Default"/>
        <w:spacing w:before="120" w:after="60"/>
        <w:ind w:firstLine="567"/>
        <w:jc w:val="both"/>
        <w:rPr>
          <w:color w:val="auto"/>
          <w:sz w:val="28"/>
          <w:szCs w:val="28"/>
          <w:lang w:val="uk-UA"/>
        </w:rPr>
      </w:pPr>
      <w:r w:rsidRPr="00A231E0">
        <w:rPr>
          <w:rStyle w:val="a8"/>
          <w:b w:val="0"/>
          <w:sz w:val="28"/>
          <w:szCs w:val="28"/>
          <w:lang w:val="uk-UA"/>
        </w:rPr>
        <w:t>Об’єктом статистичного спостереження</w:t>
      </w:r>
      <w:r w:rsidR="009231D2" w:rsidRPr="00A231E0">
        <w:rPr>
          <w:rStyle w:val="a8"/>
          <w:b w:val="0"/>
          <w:sz w:val="28"/>
          <w:szCs w:val="28"/>
          <w:lang w:val="uk-UA"/>
        </w:rPr>
        <w:t xml:space="preserve"> </w:t>
      </w:r>
      <w:r w:rsidRPr="00A231E0">
        <w:rPr>
          <w:rStyle w:val="a8"/>
          <w:b w:val="0"/>
          <w:sz w:val="28"/>
          <w:szCs w:val="28"/>
          <w:lang w:val="uk-UA"/>
        </w:rPr>
        <w:t xml:space="preserve">(цільовою сукупністю) </w:t>
      </w:r>
      <w:r w:rsidR="00965E4B" w:rsidRPr="00A231E0">
        <w:rPr>
          <w:rStyle w:val="a8"/>
          <w:b w:val="0"/>
          <w:sz w:val="28"/>
          <w:szCs w:val="28"/>
          <w:lang w:val="uk-UA"/>
        </w:rPr>
        <w:t>є органи державної влади та некомерційні організації, що надають допомогу населенню, яке потребує захисту, а саме: громадянам похилого віку, безроб</w:t>
      </w:r>
      <w:r w:rsidR="00155DFC" w:rsidRPr="00A231E0">
        <w:rPr>
          <w:rStyle w:val="a8"/>
          <w:b w:val="0"/>
          <w:sz w:val="28"/>
          <w:szCs w:val="28"/>
          <w:lang w:val="uk-UA"/>
        </w:rPr>
        <w:t>ітним</w:t>
      </w:r>
      <w:r w:rsidR="00965E4B" w:rsidRPr="00A231E0">
        <w:rPr>
          <w:rStyle w:val="a8"/>
          <w:b w:val="0"/>
          <w:sz w:val="28"/>
          <w:szCs w:val="28"/>
          <w:lang w:val="uk-UA"/>
        </w:rPr>
        <w:t>, особам з особливими потребами, ветеранам війни, пенсіонерам, багатодітним сім’ям, малозабезпеченим сім’ям, дітям-сиротам та дітям</w:t>
      </w:r>
      <w:r w:rsidR="00965E4B" w:rsidRPr="00A231E0">
        <w:rPr>
          <w:sz w:val="28"/>
          <w:szCs w:val="28"/>
          <w:lang w:val="uk-UA"/>
        </w:rPr>
        <w:t xml:space="preserve"> </w:t>
      </w:r>
      <w:r w:rsidR="00155DFC" w:rsidRPr="00A231E0">
        <w:rPr>
          <w:rStyle w:val="a8"/>
          <w:b w:val="0"/>
          <w:sz w:val="28"/>
          <w:szCs w:val="28"/>
          <w:lang w:val="uk-UA"/>
        </w:rPr>
        <w:t>з обмеженими можливостями й</w:t>
      </w:r>
      <w:r w:rsidR="00965E4B" w:rsidRPr="00A231E0">
        <w:rPr>
          <w:rStyle w:val="a8"/>
          <w:b w:val="0"/>
          <w:sz w:val="28"/>
          <w:szCs w:val="28"/>
          <w:lang w:val="uk-UA"/>
        </w:rPr>
        <w:t xml:space="preserve"> іншим групам соціально незахищених верств населення.</w:t>
      </w:r>
    </w:p>
    <w:p w:rsidR="00EF6681" w:rsidRPr="006055E2" w:rsidRDefault="00EF6681" w:rsidP="00EF6681">
      <w:pPr>
        <w:ind w:firstLine="567"/>
      </w:pPr>
      <w:r w:rsidRPr="00A231E0">
        <w:rPr>
          <w:szCs w:val="28"/>
        </w:rPr>
        <w:t>Для проведення ДСС використовується</w:t>
      </w:r>
      <w:r w:rsidRPr="00A231E0">
        <w:t xml:space="preserve"> комбінація статистичних методів, а саме використання адміністративних даних та результатів проведення інш</w:t>
      </w:r>
      <w:r w:rsidR="00E41204" w:rsidRPr="00A231E0">
        <w:t>ого</w:t>
      </w:r>
      <w:r w:rsidRPr="00A231E0">
        <w:t xml:space="preserve"> ДСС.</w:t>
      </w:r>
    </w:p>
    <w:p w:rsidR="00EF6681" w:rsidRPr="006055E2" w:rsidRDefault="00EF6681" w:rsidP="00EF6681">
      <w:pPr>
        <w:pStyle w:val="Default"/>
        <w:spacing w:before="120" w:after="60"/>
        <w:ind w:firstLine="567"/>
        <w:jc w:val="both"/>
        <w:rPr>
          <w:color w:val="auto"/>
          <w:sz w:val="28"/>
          <w:szCs w:val="28"/>
          <w:lang w:val="uk-UA"/>
        </w:rPr>
      </w:pPr>
      <w:r w:rsidRPr="006055E2">
        <w:rPr>
          <w:sz w:val="28"/>
          <w:szCs w:val="28"/>
          <w:lang w:val="uk-UA"/>
        </w:rPr>
        <w:t>Динаміка показників цього спостереження ведеться</w:t>
      </w:r>
      <w:r w:rsidRPr="006055E2">
        <w:rPr>
          <w:sz w:val="28"/>
          <w:szCs w:val="28"/>
          <w:lang w:val="uk-UA" w:eastAsia="uk-UA"/>
        </w:rPr>
        <w:t xml:space="preserve"> з 2010 року. </w:t>
      </w:r>
    </w:p>
    <w:p w:rsidR="00A93417" w:rsidRPr="006055E2" w:rsidRDefault="00D61143">
      <w:pPr>
        <w:spacing w:after="0"/>
      </w:pPr>
      <w:r w:rsidRPr="006055E2">
        <w:t>Статистичні показники спостереження складаються по Україні в цілому та поширюються у вигляді стандартних таблиць надходжень та видатків соціального захисту</w:t>
      </w:r>
      <w:r w:rsidR="00155DFC">
        <w:t xml:space="preserve">, </w:t>
      </w:r>
      <w:r w:rsidR="00155DFC" w:rsidRPr="00A231E0">
        <w:t>а також видатків</w:t>
      </w:r>
      <w:r w:rsidR="000516F7" w:rsidRPr="00A231E0">
        <w:t xml:space="preserve"> на соціальний захист</w:t>
      </w:r>
      <w:r w:rsidR="000516F7" w:rsidRPr="006055E2">
        <w:t xml:space="preserve"> за функціями</w:t>
      </w:r>
      <w:r w:rsidRPr="006055E2">
        <w:t xml:space="preserve">.  </w:t>
      </w:r>
    </w:p>
    <w:p w:rsidR="00A93417" w:rsidRPr="006055E2" w:rsidRDefault="00D61143">
      <w:pPr>
        <w:spacing w:line="240" w:lineRule="auto"/>
        <w:ind w:left="0" w:right="0" w:firstLine="0"/>
        <w:jc w:val="center"/>
      </w:pPr>
      <w:r w:rsidRPr="006055E2">
        <w:rPr>
          <w:b/>
          <w:i/>
        </w:rPr>
        <w:t xml:space="preserve"> </w:t>
      </w:r>
    </w:p>
    <w:p w:rsidR="00A93417" w:rsidRPr="006055E2" w:rsidRDefault="00D61143">
      <w:pPr>
        <w:pStyle w:val="2"/>
        <w:ind w:left="492" w:hanging="492"/>
      </w:pPr>
      <w:r w:rsidRPr="006055E2">
        <w:t xml:space="preserve">Точність </w:t>
      </w:r>
    </w:p>
    <w:p w:rsidR="00A93417" w:rsidRPr="006055E2" w:rsidRDefault="00D61143">
      <w:pPr>
        <w:spacing w:after="164" w:line="236" w:lineRule="auto"/>
        <w:ind w:left="566" w:right="27" w:firstLine="0"/>
      </w:pPr>
      <w:r w:rsidRPr="006055E2">
        <w:rPr>
          <w:i/>
        </w:rPr>
        <w:t>Точність – це</w:t>
      </w:r>
      <w:r w:rsidRPr="006055E2">
        <w:rPr>
          <w:sz w:val="15"/>
        </w:rPr>
        <w:t xml:space="preserve"> </w:t>
      </w:r>
      <w:r w:rsidRPr="006055E2">
        <w:rPr>
          <w:i/>
        </w:rPr>
        <w:t xml:space="preserve">ступінь наближеності розрахунку до дійсних значень.  </w:t>
      </w:r>
    </w:p>
    <w:p w:rsidR="009F57F9" w:rsidRPr="006055E2" w:rsidRDefault="009F57F9">
      <w:pPr>
        <w:spacing w:after="55"/>
      </w:pPr>
      <w:r w:rsidRPr="006055E2">
        <w:t xml:space="preserve">Складання Сателітного рахунку </w:t>
      </w:r>
      <w:r w:rsidR="009119E1" w:rsidRPr="006055E2">
        <w:t>соціального захисту</w:t>
      </w:r>
      <w:r w:rsidRPr="006055E2">
        <w:t xml:space="preserve"> здійснюється у відповідності до Методологічних положень. </w:t>
      </w:r>
    </w:p>
    <w:p w:rsidR="009F57F9" w:rsidRPr="006055E2" w:rsidRDefault="009F57F9">
      <w:pPr>
        <w:spacing w:after="55"/>
      </w:pPr>
      <w:r w:rsidRPr="006055E2">
        <w:t>Сукупність одиниць статистичного спостереження, що вивчається, дорівнює цільовій сукупності одиниць ДСС.</w:t>
      </w:r>
    </w:p>
    <w:p w:rsidR="001D7B14" w:rsidRPr="006055E2" w:rsidRDefault="001D7B14">
      <w:pPr>
        <w:spacing w:after="55"/>
      </w:pPr>
      <w:r w:rsidRPr="006055E2">
        <w:lastRenderedPageBreak/>
        <w:t>Обробка даних складається зі стандартних процедур опрацювання зведеної інформації, отриманої за результатами іншого статистичного спостережен</w:t>
      </w:r>
      <w:r w:rsidR="00485963" w:rsidRPr="006055E2">
        <w:t>н</w:t>
      </w:r>
      <w:r w:rsidRPr="006055E2">
        <w:t>я, а також зведених даних, що надійшли з адміністративних джерел: перевірка повноти інформації, отриманої для проведення розрахунку, перевірка узгодженості інформації, отриманої з різних джерел.</w:t>
      </w:r>
    </w:p>
    <w:p w:rsidR="009F57F9" w:rsidRPr="006055E2" w:rsidRDefault="009F57F9">
      <w:r w:rsidRPr="006055E2">
        <w:t xml:space="preserve">Формування показника за результатами ДСС відбувається методом поєднання підсумків (компіляції) даних. </w:t>
      </w:r>
    </w:p>
    <w:p w:rsidR="009F57F9" w:rsidRPr="006055E2" w:rsidRDefault="009F57F9">
      <w:r w:rsidRPr="006055E2">
        <w:t>За результатами цього ДСС може проводитися спеціальний перегляд статистичної інформації, пов'язаний зі змінами методології та появою нових джерел інформації.</w:t>
      </w:r>
    </w:p>
    <w:p w:rsidR="00A93417" w:rsidRPr="006055E2" w:rsidRDefault="00D61143">
      <w:pPr>
        <w:spacing w:after="172" w:line="240" w:lineRule="auto"/>
        <w:ind w:left="0" w:right="0" w:firstLine="0"/>
        <w:jc w:val="center"/>
      </w:pPr>
      <w:r w:rsidRPr="006055E2">
        <w:rPr>
          <w:b/>
          <w:i/>
        </w:rPr>
        <w:t xml:space="preserve"> </w:t>
      </w:r>
    </w:p>
    <w:p w:rsidR="00A93417" w:rsidRPr="006055E2" w:rsidRDefault="00D61143">
      <w:pPr>
        <w:pStyle w:val="2"/>
        <w:ind w:left="492" w:hanging="492"/>
      </w:pPr>
      <w:r w:rsidRPr="006055E2">
        <w:t xml:space="preserve">Своєчасність та пунктуальність </w:t>
      </w:r>
    </w:p>
    <w:p w:rsidR="00A93417" w:rsidRPr="006055E2" w:rsidRDefault="00D61143">
      <w:pPr>
        <w:spacing w:after="164" w:line="236" w:lineRule="auto"/>
        <w:ind w:right="27"/>
      </w:pPr>
      <w:r w:rsidRPr="006055E2">
        <w:rPr>
          <w:i/>
        </w:rPr>
        <w:t>Своєчасність</w:t>
      </w:r>
      <w:r w:rsidRPr="006055E2">
        <w:rPr>
          <w:b/>
          <w:i/>
        </w:rPr>
        <w:t xml:space="preserve"> </w:t>
      </w:r>
      <w:r w:rsidRPr="006055E2">
        <w:rPr>
          <w:i/>
        </w:rPr>
        <w:t xml:space="preserve">– це період часу між подією або явищем, що описують статистичні дані, та публікацією цих статистичних даних. </w:t>
      </w:r>
    </w:p>
    <w:p w:rsidR="00A93417" w:rsidRPr="006055E2" w:rsidRDefault="00D61143">
      <w:pPr>
        <w:spacing w:after="164" w:line="236" w:lineRule="auto"/>
        <w:ind w:right="27"/>
      </w:pPr>
      <w:r w:rsidRPr="006055E2">
        <w:rPr>
          <w:i/>
        </w:rPr>
        <w:t>Пунктуальність</w:t>
      </w:r>
      <w:r w:rsidRPr="006055E2">
        <w:rPr>
          <w:b/>
          <w:i/>
        </w:rPr>
        <w:t xml:space="preserve"> </w:t>
      </w:r>
      <w:r w:rsidRPr="006055E2">
        <w:rPr>
          <w:i/>
        </w:rPr>
        <w:t xml:space="preserve">– це період часу між фактичною датою публікації даних та плановою датою, яка визначена в офіційному календарі публікацій. </w:t>
      </w:r>
    </w:p>
    <w:p w:rsidR="00A93417" w:rsidRPr="006055E2" w:rsidRDefault="00D61143">
      <w:r w:rsidRPr="006055E2">
        <w:t xml:space="preserve">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спостережень. Для зручності користувачів на офіційному вебсайті Держстату розміщені Каталог офіційних статистичних публікацій, а також Календар оприлюднення інформації, де вказані відповідні дати оприлюднення статистичних продуктів. </w:t>
      </w:r>
    </w:p>
    <w:p w:rsidR="00A93417" w:rsidRPr="00A231E0" w:rsidRDefault="00155DFC">
      <w:r w:rsidRPr="00A231E0">
        <w:t>Збір, обробка й</w:t>
      </w:r>
      <w:r w:rsidR="00D61143" w:rsidRPr="00A231E0">
        <w:t xml:space="preserve"> аналіз даних ДСС здійснюється в терміни, передбачені технологічною програмою державних статистичних спостережень. </w:t>
      </w:r>
    </w:p>
    <w:tbl>
      <w:tblPr>
        <w:tblStyle w:val="TableGrid"/>
        <w:tblW w:w="9609" w:type="dxa"/>
        <w:tblInd w:w="-2" w:type="dxa"/>
        <w:tblCellMar>
          <w:left w:w="161" w:type="dxa"/>
          <w:right w:w="113" w:type="dxa"/>
        </w:tblCellMar>
        <w:tblLook w:val="04A0" w:firstRow="1" w:lastRow="0" w:firstColumn="1" w:lastColumn="0" w:noHBand="0" w:noVBand="1"/>
      </w:tblPr>
      <w:tblGrid>
        <w:gridCol w:w="2401"/>
        <w:gridCol w:w="2403"/>
        <w:gridCol w:w="2403"/>
        <w:gridCol w:w="2402"/>
      </w:tblGrid>
      <w:tr w:rsidR="00A93417" w:rsidRPr="00A231E0">
        <w:trPr>
          <w:trHeight w:val="1135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17" w:rsidRPr="00A231E0" w:rsidRDefault="00D61143">
            <w:pPr>
              <w:spacing w:after="0" w:line="276" w:lineRule="auto"/>
              <w:ind w:left="0" w:right="0" w:firstLine="0"/>
              <w:jc w:val="center"/>
            </w:pPr>
            <w:r w:rsidRPr="00A231E0">
              <w:rPr>
                <w:sz w:val="20"/>
              </w:rPr>
              <w:t xml:space="preserve">Збір даних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17" w:rsidRPr="00A231E0" w:rsidRDefault="00D61143">
            <w:pPr>
              <w:spacing w:after="0" w:line="276" w:lineRule="auto"/>
              <w:ind w:left="0" w:right="0" w:firstLine="0"/>
              <w:jc w:val="center"/>
            </w:pPr>
            <w:r w:rsidRPr="00A231E0">
              <w:rPr>
                <w:sz w:val="20"/>
              </w:rPr>
              <w:t xml:space="preserve">Обробка даних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17" w:rsidRPr="00A231E0" w:rsidRDefault="00D61143">
            <w:pPr>
              <w:spacing w:after="0" w:line="276" w:lineRule="auto"/>
              <w:ind w:left="0" w:right="0" w:firstLine="0"/>
              <w:jc w:val="center"/>
            </w:pPr>
            <w:r w:rsidRPr="00A231E0">
              <w:rPr>
                <w:sz w:val="20"/>
              </w:rPr>
              <w:t xml:space="preserve">Аналіз даних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417" w:rsidRPr="00A231E0" w:rsidRDefault="00D61143">
            <w:pPr>
              <w:spacing w:after="33" w:line="235" w:lineRule="auto"/>
              <w:ind w:left="119" w:right="119" w:firstLine="0"/>
              <w:jc w:val="center"/>
            </w:pPr>
            <w:r w:rsidRPr="00A231E0">
              <w:rPr>
                <w:sz w:val="20"/>
              </w:rPr>
              <w:t xml:space="preserve">Перше оприлюднення  </w:t>
            </w:r>
          </w:p>
          <w:p w:rsidR="00A93417" w:rsidRPr="00A231E0" w:rsidRDefault="00D61143">
            <w:pPr>
              <w:spacing w:after="0" w:line="276" w:lineRule="auto"/>
              <w:ind w:left="25" w:right="0" w:firstLine="0"/>
              <w:jc w:val="center"/>
            </w:pPr>
            <w:r w:rsidRPr="00A231E0">
              <w:rPr>
                <w:sz w:val="20"/>
              </w:rPr>
              <w:t xml:space="preserve">статистичної  інформації </w:t>
            </w:r>
          </w:p>
        </w:tc>
      </w:tr>
      <w:tr w:rsidR="00A93417" w:rsidRPr="00A231E0">
        <w:trPr>
          <w:trHeight w:val="47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417" w:rsidRPr="00A231E0" w:rsidRDefault="00D61143">
            <w:pPr>
              <w:spacing w:after="0" w:line="276" w:lineRule="auto"/>
              <w:ind w:left="0" w:right="0" w:firstLine="0"/>
              <w:jc w:val="center"/>
            </w:pPr>
            <w:r w:rsidRPr="00A231E0">
              <w:rPr>
                <w:sz w:val="20"/>
              </w:rPr>
              <w:t xml:space="preserve">IV квартал наступного за звітним року 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417" w:rsidRPr="00A231E0" w:rsidRDefault="00D61143">
            <w:pPr>
              <w:spacing w:after="0" w:line="276" w:lineRule="auto"/>
              <w:ind w:left="0" w:right="0" w:firstLine="0"/>
              <w:jc w:val="center"/>
            </w:pPr>
            <w:r w:rsidRPr="00A231E0">
              <w:rPr>
                <w:sz w:val="20"/>
              </w:rPr>
              <w:t xml:space="preserve">січень другого року за звітним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417" w:rsidRPr="00A231E0" w:rsidRDefault="00D61143">
            <w:pPr>
              <w:spacing w:after="0" w:line="276" w:lineRule="auto"/>
              <w:ind w:left="379" w:right="0" w:hanging="295"/>
            </w:pPr>
            <w:r w:rsidRPr="00A231E0">
              <w:rPr>
                <w:sz w:val="20"/>
              </w:rPr>
              <w:t xml:space="preserve">січень-лютий  другого року за звітним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417" w:rsidRPr="00A231E0" w:rsidRDefault="00D61143">
            <w:pPr>
              <w:spacing w:after="0" w:line="276" w:lineRule="auto"/>
              <w:ind w:left="602" w:right="0" w:hanging="602"/>
            </w:pPr>
            <w:r w:rsidRPr="00A231E0">
              <w:rPr>
                <w:sz w:val="20"/>
              </w:rPr>
              <w:t xml:space="preserve">28 лютого  другого року за звітним </w:t>
            </w:r>
          </w:p>
        </w:tc>
      </w:tr>
    </w:tbl>
    <w:p w:rsidR="009309B7" w:rsidRPr="00A231E0" w:rsidRDefault="009309B7"/>
    <w:p w:rsidR="00A93417" w:rsidRPr="006055E2" w:rsidRDefault="00D61143">
      <w:r w:rsidRPr="00A231E0">
        <w:t xml:space="preserve">Запити користувачів щодо </w:t>
      </w:r>
      <w:r w:rsidR="00155DFC" w:rsidRPr="00A231E0">
        <w:t>надання інформації виконуються в</w:t>
      </w:r>
      <w:r w:rsidRPr="00A231E0">
        <w:t xml:space="preserve"> терміни, передбачені вимогами Закону України "Про доступ до публічної інформації".</w:t>
      </w:r>
      <w:r w:rsidRPr="006055E2">
        <w:t xml:space="preserve"> </w:t>
      </w:r>
    </w:p>
    <w:p w:rsidR="00A93417" w:rsidRPr="006055E2" w:rsidRDefault="00D61143">
      <w:pPr>
        <w:spacing w:after="0" w:line="240" w:lineRule="auto"/>
        <w:ind w:left="0" w:right="0" w:firstLine="0"/>
        <w:jc w:val="center"/>
      </w:pPr>
      <w:r w:rsidRPr="006055E2">
        <w:rPr>
          <w:b/>
          <w:i/>
        </w:rPr>
        <w:t xml:space="preserve"> </w:t>
      </w:r>
    </w:p>
    <w:p w:rsidR="00A93417" w:rsidRPr="006055E2" w:rsidRDefault="00D61143">
      <w:pPr>
        <w:pStyle w:val="2"/>
        <w:ind w:left="492" w:hanging="492"/>
      </w:pPr>
      <w:r w:rsidRPr="006055E2">
        <w:t xml:space="preserve">Доступність та зрозумілість </w:t>
      </w:r>
    </w:p>
    <w:p w:rsidR="00A93417" w:rsidRPr="006055E2" w:rsidRDefault="00D61143">
      <w:pPr>
        <w:spacing w:after="164" w:line="236" w:lineRule="auto"/>
        <w:ind w:right="27"/>
      </w:pPr>
      <w:r w:rsidRPr="006055E2">
        <w:rPr>
          <w:i/>
        </w:rPr>
        <w:t xml:space="preserve">Доступність – 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  </w:t>
      </w:r>
    </w:p>
    <w:p w:rsidR="00A93417" w:rsidRPr="006055E2" w:rsidRDefault="00D61143">
      <w:pPr>
        <w:spacing w:after="164" w:line="236" w:lineRule="auto"/>
        <w:ind w:right="27"/>
        <w:rPr>
          <w:i/>
        </w:rPr>
      </w:pPr>
      <w:r w:rsidRPr="006055E2">
        <w:rPr>
          <w:i/>
        </w:rPr>
        <w:lastRenderedPageBreak/>
        <w:t xml:space="preserve">Зрозумілість – це 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  </w:t>
      </w:r>
    </w:p>
    <w:p w:rsidR="00045D9B" w:rsidRPr="00A231E0" w:rsidRDefault="00045D9B">
      <w:pPr>
        <w:spacing w:after="164" w:line="236" w:lineRule="auto"/>
        <w:ind w:right="27"/>
        <w:rPr>
          <w:lang w:val="ru-RU"/>
        </w:rPr>
      </w:pPr>
      <w:r w:rsidRPr="00A231E0">
        <w:t>Метадані ДСС розміщені на офіційному вебсайті Держстату (www.ukrstat.gov.ua) у розділі "Діяльність Служби"/"Статистичні спостереження"/"Метаописи державних статистичних спостережень"</w:t>
      </w:r>
      <w:r w:rsidR="00155DFC" w:rsidRPr="00A231E0">
        <w:rPr>
          <w:lang w:val="ru-RU"/>
        </w:rPr>
        <w:t>.</w:t>
      </w:r>
    </w:p>
    <w:p w:rsidR="00A93417" w:rsidRPr="00A231E0" w:rsidRDefault="00D61143">
      <w:r w:rsidRPr="00A231E0">
        <w:t>Результати спостереження розміщуют</w:t>
      </w:r>
      <w:r w:rsidR="00045D9B" w:rsidRPr="00A231E0">
        <w:t xml:space="preserve">ься у вільному доступі </w:t>
      </w:r>
      <w:r w:rsidR="00EA171D" w:rsidRPr="00A231E0">
        <w:t>на офіційному веб</w:t>
      </w:r>
      <w:r w:rsidRPr="00A231E0">
        <w:t>сайті Держстату</w:t>
      </w:r>
      <w:r w:rsidR="00B807C7" w:rsidRPr="00A231E0">
        <w:t xml:space="preserve"> у розділі</w:t>
      </w:r>
      <w:r w:rsidRPr="00A231E0">
        <w:t xml:space="preserve"> </w:t>
      </w:r>
      <w:r w:rsidR="00C76322" w:rsidRPr="00A231E0">
        <w:t>"</w:t>
      </w:r>
      <w:r w:rsidRPr="00A231E0">
        <w:t>Демографічна та соціальна статистика"/"Соціальний захист"</w:t>
      </w:r>
      <w:r w:rsidR="00C76322" w:rsidRPr="00A231E0">
        <w:t>/"Сателітний рахунок соціального захисту в Україні"</w:t>
      </w:r>
      <w:r w:rsidRPr="00A231E0">
        <w:t>. Ця інформація може надаватися кор</w:t>
      </w:r>
      <w:r w:rsidR="00155DFC" w:rsidRPr="00A231E0">
        <w:t>истувачам в електронній формі</w:t>
      </w:r>
      <w:r w:rsidRPr="00A231E0">
        <w:t xml:space="preserve"> за їхніми запитами. </w:t>
      </w:r>
    </w:p>
    <w:p w:rsidR="00A93417" w:rsidRPr="00A231E0" w:rsidRDefault="00D61143">
      <w:r w:rsidRPr="00A231E0">
        <w:t xml:space="preserve">Більш детальну статистичну інформацію, наявну за цим спостереженням, можна отримати за запитами в установленому порядку.  </w:t>
      </w:r>
    </w:p>
    <w:p w:rsidR="00A93417" w:rsidRPr="00A231E0" w:rsidRDefault="00D61143">
      <w:r w:rsidRPr="00A231E0">
        <w:t xml:space="preserve">Контакти для отримання додаткової інформації щодо результатів цього статистичного спостереження, відповідного методологічного забезпечення, а також довідок щодо умов поширення його результатів: </w:t>
      </w:r>
    </w:p>
    <w:p w:rsidR="00E8339D" w:rsidRPr="00A231E0" w:rsidRDefault="00E8339D" w:rsidP="00E8339D">
      <w:pPr>
        <w:pStyle w:val="Default"/>
        <w:numPr>
          <w:ilvl w:val="0"/>
          <w:numId w:val="2"/>
        </w:numPr>
        <w:spacing w:before="120"/>
        <w:ind w:firstLine="567"/>
        <w:rPr>
          <w:color w:val="auto"/>
          <w:sz w:val="28"/>
          <w:szCs w:val="28"/>
          <w:lang w:val="uk-UA"/>
        </w:rPr>
      </w:pPr>
      <w:r w:rsidRPr="00A231E0">
        <w:rPr>
          <w:color w:val="auto"/>
          <w:sz w:val="28"/>
          <w:szCs w:val="28"/>
          <w:lang w:val="uk-UA"/>
        </w:rPr>
        <w:t xml:space="preserve">адреса: </w:t>
      </w:r>
      <w:r w:rsidR="00155DFC" w:rsidRPr="00A231E0">
        <w:rPr>
          <w:color w:val="auto"/>
          <w:sz w:val="28"/>
          <w:szCs w:val="28"/>
          <w:lang w:val="uk-UA"/>
        </w:rPr>
        <w:t>вул. Шота Руставелі, 3,</w:t>
      </w:r>
      <w:r w:rsidRPr="00A231E0">
        <w:rPr>
          <w:color w:val="auto"/>
          <w:sz w:val="28"/>
          <w:szCs w:val="28"/>
          <w:lang w:val="uk-UA"/>
        </w:rPr>
        <w:t xml:space="preserve"> </w:t>
      </w:r>
      <w:r w:rsidR="00155DFC" w:rsidRPr="00A231E0">
        <w:rPr>
          <w:color w:val="auto"/>
          <w:sz w:val="28"/>
          <w:szCs w:val="28"/>
          <w:lang w:val="uk-UA"/>
        </w:rPr>
        <w:t>м. Київ, 01601;</w:t>
      </w:r>
    </w:p>
    <w:p w:rsidR="00E8339D" w:rsidRPr="00A231E0" w:rsidRDefault="00E8339D" w:rsidP="00E8339D">
      <w:pPr>
        <w:pStyle w:val="Default"/>
        <w:numPr>
          <w:ilvl w:val="0"/>
          <w:numId w:val="2"/>
        </w:numPr>
        <w:ind w:firstLine="567"/>
        <w:rPr>
          <w:color w:val="auto"/>
          <w:sz w:val="28"/>
          <w:szCs w:val="28"/>
          <w:lang w:val="uk-UA"/>
        </w:rPr>
      </w:pPr>
      <w:r w:rsidRPr="00A231E0">
        <w:rPr>
          <w:color w:val="auto"/>
          <w:sz w:val="28"/>
          <w:szCs w:val="28"/>
          <w:lang w:val="uk-UA"/>
        </w:rPr>
        <w:t>телефон: (044) 287</w:t>
      </w:r>
      <w:r w:rsidR="00475A8D" w:rsidRPr="00A231E0">
        <w:rPr>
          <w:color w:val="auto"/>
          <w:sz w:val="28"/>
          <w:szCs w:val="28"/>
          <w:lang w:val="uk-UA"/>
        </w:rPr>
        <w:t>–66–</w:t>
      </w:r>
      <w:r w:rsidRPr="00A231E0">
        <w:rPr>
          <w:color w:val="auto"/>
          <w:sz w:val="28"/>
          <w:szCs w:val="28"/>
          <w:lang w:val="uk-UA"/>
        </w:rPr>
        <w:t xml:space="preserve">22; </w:t>
      </w:r>
    </w:p>
    <w:p w:rsidR="00E8339D" w:rsidRPr="00A231E0" w:rsidRDefault="00E8339D" w:rsidP="00E8339D">
      <w:pPr>
        <w:pStyle w:val="Default"/>
        <w:numPr>
          <w:ilvl w:val="0"/>
          <w:numId w:val="2"/>
        </w:numPr>
        <w:ind w:firstLine="567"/>
        <w:rPr>
          <w:color w:val="auto"/>
          <w:sz w:val="28"/>
          <w:szCs w:val="28"/>
          <w:lang w:val="uk-UA"/>
        </w:rPr>
      </w:pPr>
      <w:r w:rsidRPr="00A231E0">
        <w:rPr>
          <w:color w:val="auto"/>
          <w:sz w:val="28"/>
          <w:szCs w:val="28"/>
          <w:lang w:val="uk-UA"/>
        </w:rPr>
        <w:t xml:space="preserve">електронна пошта: I.Yacenko@ukrstat.gov.ua. </w:t>
      </w:r>
    </w:p>
    <w:p w:rsidR="00E8339D" w:rsidRPr="00A231E0" w:rsidRDefault="00E8339D" w:rsidP="00E8339D">
      <w:pPr>
        <w:pStyle w:val="Default"/>
        <w:numPr>
          <w:ilvl w:val="0"/>
          <w:numId w:val="2"/>
        </w:numPr>
        <w:spacing w:before="120"/>
        <w:ind w:firstLine="567"/>
        <w:rPr>
          <w:color w:val="auto"/>
          <w:sz w:val="28"/>
          <w:szCs w:val="28"/>
          <w:lang w:val="uk-UA"/>
        </w:rPr>
      </w:pPr>
      <w:r w:rsidRPr="00A231E0">
        <w:rPr>
          <w:color w:val="auto"/>
          <w:sz w:val="28"/>
          <w:szCs w:val="28"/>
          <w:lang w:val="uk-UA"/>
        </w:rPr>
        <w:t xml:space="preserve">Контактна інформація для оформлення інформаційного запиту: </w:t>
      </w:r>
    </w:p>
    <w:p w:rsidR="00E8339D" w:rsidRPr="00A231E0" w:rsidRDefault="00E8339D" w:rsidP="00E8339D">
      <w:pPr>
        <w:pStyle w:val="Default"/>
        <w:numPr>
          <w:ilvl w:val="0"/>
          <w:numId w:val="2"/>
        </w:numPr>
        <w:ind w:firstLine="567"/>
        <w:rPr>
          <w:color w:val="auto"/>
          <w:sz w:val="28"/>
          <w:szCs w:val="28"/>
          <w:lang w:val="uk-UA"/>
        </w:rPr>
      </w:pPr>
      <w:r w:rsidRPr="00A231E0">
        <w:rPr>
          <w:color w:val="auto"/>
          <w:sz w:val="28"/>
          <w:szCs w:val="28"/>
          <w:lang w:val="uk-UA"/>
        </w:rPr>
        <w:t>телефон: 287–06–72;</w:t>
      </w:r>
    </w:p>
    <w:p w:rsidR="00E8339D" w:rsidRPr="00A231E0" w:rsidRDefault="00E8339D" w:rsidP="00E8339D">
      <w:pPr>
        <w:pStyle w:val="Default"/>
        <w:numPr>
          <w:ilvl w:val="0"/>
          <w:numId w:val="2"/>
        </w:numPr>
        <w:ind w:firstLine="567"/>
        <w:rPr>
          <w:color w:val="auto"/>
          <w:sz w:val="28"/>
          <w:szCs w:val="28"/>
          <w:lang w:val="uk-UA"/>
        </w:rPr>
      </w:pPr>
      <w:r w:rsidRPr="00A231E0">
        <w:rPr>
          <w:color w:val="auto"/>
          <w:sz w:val="28"/>
          <w:szCs w:val="28"/>
          <w:lang w:val="uk-UA"/>
        </w:rPr>
        <w:t xml:space="preserve">електронна пошта: </w:t>
      </w:r>
      <w:r w:rsidRPr="00A231E0">
        <w:rPr>
          <w:iCs/>
          <w:color w:val="auto"/>
          <w:sz w:val="28"/>
          <w:szCs w:val="28"/>
          <w:lang w:val="uk-UA"/>
        </w:rPr>
        <w:t>el.zapyt@ukrstat.gov.ua</w:t>
      </w:r>
      <w:r w:rsidRPr="00A231E0">
        <w:rPr>
          <w:color w:val="auto"/>
          <w:sz w:val="28"/>
          <w:szCs w:val="28"/>
          <w:lang w:val="uk-UA"/>
        </w:rPr>
        <w:t xml:space="preserve">. </w:t>
      </w:r>
    </w:p>
    <w:p w:rsidR="00E8339D" w:rsidRPr="00A231E0" w:rsidRDefault="00E8339D" w:rsidP="00E8339D">
      <w:pPr>
        <w:pStyle w:val="Default"/>
        <w:numPr>
          <w:ilvl w:val="0"/>
          <w:numId w:val="2"/>
        </w:numPr>
        <w:ind w:firstLine="567"/>
        <w:rPr>
          <w:color w:val="auto"/>
          <w:sz w:val="28"/>
          <w:szCs w:val="28"/>
          <w:lang w:val="uk-UA"/>
        </w:rPr>
      </w:pPr>
    </w:p>
    <w:p w:rsidR="00A93417" w:rsidRPr="00A231E0" w:rsidRDefault="00D61143">
      <w:pPr>
        <w:pStyle w:val="2"/>
        <w:ind w:left="492" w:hanging="492"/>
      </w:pPr>
      <w:r w:rsidRPr="00A231E0">
        <w:t xml:space="preserve">Послідовність та зіставність </w:t>
      </w:r>
    </w:p>
    <w:p w:rsidR="00A93417" w:rsidRPr="006055E2" w:rsidRDefault="00D61143">
      <w:pPr>
        <w:spacing w:after="164" w:line="236" w:lineRule="auto"/>
        <w:ind w:right="27"/>
      </w:pPr>
      <w:r w:rsidRPr="00A231E0">
        <w:rPr>
          <w:i/>
        </w:rPr>
        <w:t>Послідовність двох або більше статист</w:t>
      </w:r>
      <w:r w:rsidR="009F469D" w:rsidRPr="00A231E0">
        <w:rPr>
          <w:i/>
        </w:rPr>
        <w:t>ичних даних означає, наскільки в</w:t>
      </w:r>
      <w:r w:rsidRPr="00A231E0">
        <w:rPr>
          <w:i/>
        </w:rPr>
        <w:t xml:space="preserve"> державних статистичних спостереженнях, у рамках яких вони вироблялися, використовувались однакові метадані – класифікації, визначення і сукупність, що вивча</w:t>
      </w:r>
      <w:r w:rsidR="009F469D" w:rsidRPr="00A231E0">
        <w:rPr>
          <w:i/>
        </w:rPr>
        <w:t>ю</w:t>
      </w:r>
      <w:r w:rsidRPr="00A231E0">
        <w:rPr>
          <w:i/>
        </w:rPr>
        <w:t>ться, а також гармонізовані методи.</w:t>
      </w:r>
      <w:r w:rsidRPr="006055E2">
        <w:rPr>
          <w:i/>
        </w:rPr>
        <w:t xml:space="preserve"> </w:t>
      </w:r>
    </w:p>
    <w:p w:rsidR="00A93417" w:rsidRPr="006055E2" w:rsidRDefault="00D61143">
      <w:pPr>
        <w:spacing w:after="164" w:line="236" w:lineRule="auto"/>
        <w:ind w:right="27"/>
      </w:pPr>
      <w:r w:rsidRPr="006055E2">
        <w:rPr>
          <w:i/>
        </w:rPr>
        <w:t xml:space="preserve">Зіставність – це окремий випадок послідовності, коли статистичні дані відносяться до тих самих об'єктів даних, а ціль їхнього об'єднання – зробити порівняння у часі або за регіонами, або за іншими сферами діяльності. </w:t>
      </w:r>
    </w:p>
    <w:p w:rsidR="00BF7682" w:rsidRPr="006055E2" w:rsidRDefault="00BF7682">
      <w:r w:rsidRPr="006055E2">
        <w:t>Спостереження передбачає єдині підходи до формування показника (його змісту, визначення), звітного періоду та періодичності обстеження, географічного охоплення, методів збору та обробки даних, що забезпечує зіставну динаміку показників.</w:t>
      </w:r>
    </w:p>
    <w:p w:rsidR="00A93417" w:rsidRPr="006055E2" w:rsidRDefault="00D61143">
      <w:r w:rsidRPr="006055E2">
        <w:t>Зважаючи на зазначене, показники цього державного статистичного спостереження за певний обраний період можна порівнювати з даними по Україні з 20</w:t>
      </w:r>
      <w:r w:rsidR="00853BD9" w:rsidRPr="006055E2">
        <w:t>10</w:t>
      </w:r>
      <w:r w:rsidRPr="006055E2">
        <w:t xml:space="preserve"> року та проводити порівняння з показниками системи соціального захисту </w:t>
      </w:r>
      <w:r w:rsidRPr="006055E2">
        <w:lastRenderedPageBreak/>
        <w:t>ESSPROS країн ЄС, які оприлюднюються на вебсайті Євростату (</w:t>
      </w:r>
      <w:hyperlink r:id="rId9" w:history="1">
        <w:r w:rsidR="003612BA" w:rsidRPr="006055E2">
          <w:rPr>
            <w:rStyle w:val="a7"/>
          </w:rPr>
          <w:t>www.ec.europa.eu</w:t>
        </w:r>
      </w:hyperlink>
      <w:r w:rsidRPr="006055E2">
        <w:t xml:space="preserve">). </w:t>
      </w:r>
    </w:p>
    <w:p w:rsidR="003612BA" w:rsidRPr="006055E2" w:rsidRDefault="003612BA"/>
    <w:p w:rsidR="00A93417" w:rsidRPr="006055E2" w:rsidRDefault="00D61143">
      <w:pPr>
        <w:pStyle w:val="2"/>
        <w:spacing w:after="168" w:line="240" w:lineRule="auto"/>
        <w:ind w:left="2715" w:hanging="492"/>
        <w:jc w:val="left"/>
      </w:pPr>
      <w:r w:rsidRPr="006055E2">
        <w:t xml:space="preserve">Оцінка потреб та очікувань користувачів </w:t>
      </w:r>
    </w:p>
    <w:p w:rsidR="009E3980" w:rsidRPr="00A231E0" w:rsidRDefault="009E3980" w:rsidP="009E3980">
      <w:r w:rsidRPr="00A231E0">
        <w:t>Користувачами інформації, отриманої</w:t>
      </w:r>
      <w:r w:rsidR="00D61143" w:rsidRPr="00A231E0">
        <w:t xml:space="preserve"> за результатами ДСС, є органи державної влади та місцевого самоврядування, </w:t>
      </w:r>
      <w:r w:rsidRPr="00A231E0">
        <w:t>б</w:t>
      </w:r>
      <w:r w:rsidR="009F469D" w:rsidRPr="00A231E0">
        <w:t>ізнес (підприємства, установи й</w:t>
      </w:r>
      <w:r w:rsidRPr="00A231E0">
        <w:t xml:space="preserve"> організації), науковці та дослідники, міжнародні організації, громадяни.</w:t>
      </w:r>
    </w:p>
    <w:p w:rsidR="009E3980" w:rsidRDefault="009E3980" w:rsidP="009E3980">
      <w:r w:rsidRPr="00A231E0">
        <w:t>Задоволеність потреб користувачів статистичної інформації оцінюється</w:t>
      </w:r>
      <w:r w:rsidRPr="00391D64">
        <w:t xml:space="preserve"> шляхом опитування, а також на підставі аналізу запитів і пропозицій користувачів.</w:t>
      </w:r>
    </w:p>
    <w:p w:rsidR="00A93417" w:rsidRPr="006055E2" w:rsidRDefault="00D61143" w:rsidP="009E3980">
      <w:r w:rsidRPr="006055E2">
        <w:t xml:space="preserve">У </w:t>
      </w:r>
      <w:r w:rsidR="004A5225" w:rsidRPr="006055E2">
        <w:t>серпні</w:t>
      </w:r>
      <w:r w:rsidRPr="006055E2">
        <w:t xml:space="preserve"> 20</w:t>
      </w:r>
      <w:r w:rsidR="003612BA" w:rsidRPr="006055E2">
        <w:t>22</w:t>
      </w:r>
      <w:r w:rsidRPr="006055E2">
        <w:t xml:space="preserve"> року Держстат провів анкетне опитування користувачів статистичної інформації з метою вивчення ступеня відповідності потребам користувачів інформації щодо показників, які містяться в статистичн</w:t>
      </w:r>
      <w:r w:rsidR="00D7191B" w:rsidRPr="006055E2">
        <w:t>ій</w:t>
      </w:r>
      <w:r w:rsidRPr="006055E2">
        <w:t xml:space="preserve"> </w:t>
      </w:r>
      <w:r w:rsidR="00D7191B" w:rsidRPr="006055E2">
        <w:t>інформації</w:t>
      </w:r>
      <w:r w:rsidRPr="006055E2">
        <w:t xml:space="preserve"> </w:t>
      </w:r>
      <w:r w:rsidR="00D7191B" w:rsidRPr="006055E2">
        <w:t xml:space="preserve"> "Сателітний рахунок</w:t>
      </w:r>
      <w:r w:rsidRPr="006055E2">
        <w:t xml:space="preserve"> соціального захисту в Україні", а також визначення оцінки якості зазначеної статистичної інформації. </w:t>
      </w:r>
    </w:p>
    <w:p w:rsidR="00A93417" w:rsidRPr="006055E2" w:rsidRDefault="00D61143">
      <w:pPr>
        <w:ind w:left="566" w:firstLine="0"/>
      </w:pPr>
      <w:r w:rsidRPr="006055E2">
        <w:t xml:space="preserve">Основні висновки за результатами опитування: </w:t>
      </w:r>
    </w:p>
    <w:p w:rsidR="004F2695" w:rsidRPr="006055E2" w:rsidRDefault="004F2695" w:rsidP="004F2695">
      <w:pPr>
        <w:tabs>
          <w:tab w:val="left" w:pos="993"/>
        </w:tabs>
        <w:ind w:firstLine="567"/>
        <w:rPr>
          <w:szCs w:val="28"/>
        </w:rPr>
      </w:pPr>
      <w:r w:rsidRPr="006055E2">
        <w:rPr>
          <w:szCs w:val="28"/>
        </w:rPr>
        <w:t>21% опитаних зазначили, що статистична інформація з тематики опитування є основною або важливою складовою їхньої діяльності, 30% – додатковою інформацією;</w:t>
      </w:r>
    </w:p>
    <w:p w:rsidR="004F2695" w:rsidRPr="006055E2" w:rsidRDefault="004F2695" w:rsidP="004F2695">
      <w:pPr>
        <w:tabs>
          <w:tab w:val="left" w:pos="993"/>
        </w:tabs>
        <w:ind w:firstLine="567"/>
        <w:rPr>
          <w:szCs w:val="28"/>
        </w:rPr>
      </w:pPr>
      <w:r w:rsidRPr="006055E2">
        <w:rPr>
          <w:szCs w:val="28"/>
        </w:rPr>
        <w:t>69% користувачів отримують необхідну інформацію з тематики опитування електронними засобами (Інтернет, вебсайт Держстату та ін.), 34% – зі ЗМІ; 13% – отримують відповіді на запити;</w:t>
      </w:r>
    </w:p>
    <w:p w:rsidR="004F2695" w:rsidRPr="006055E2" w:rsidRDefault="004F2695" w:rsidP="004F2695">
      <w:pPr>
        <w:tabs>
          <w:tab w:val="left" w:pos="993"/>
        </w:tabs>
        <w:ind w:firstLine="567"/>
        <w:rPr>
          <w:szCs w:val="28"/>
        </w:rPr>
      </w:pPr>
      <w:r w:rsidRPr="006055E2">
        <w:rPr>
          <w:szCs w:val="28"/>
        </w:rPr>
        <w:t>3% опитаних для отримання інформації використовують вебсайт Держстату постійно</w:t>
      </w:r>
      <w:r w:rsidRPr="006055E2">
        <w:rPr>
          <w:spacing w:val="-2"/>
          <w:szCs w:val="28"/>
        </w:rPr>
        <w:t>,</w:t>
      </w:r>
      <w:r w:rsidRPr="006055E2">
        <w:rPr>
          <w:szCs w:val="28"/>
        </w:rPr>
        <w:t xml:space="preserve"> 32% – </w:t>
      </w:r>
      <w:r w:rsidRPr="006055E2">
        <w:rPr>
          <w:spacing w:val="-2"/>
          <w:szCs w:val="28"/>
        </w:rPr>
        <w:t>періодично</w:t>
      </w:r>
      <w:r w:rsidRPr="006055E2">
        <w:rPr>
          <w:szCs w:val="28"/>
        </w:rPr>
        <w:t>, 45% – майже не використовують;</w:t>
      </w:r>
    </w:p>
    <w:p w:rsidR="004F2695" w:rsidRPr="006055E2" w:rsidRDefault="004F2695" w:rsidP="004F2695">
      <w:pPr>
        <w:tabs>
          <w:tab w:val="left" w:pos="993"/>
        </w:tabs>
        <w:ind w:firstLine="567"/>
        <w:rPr>
          <w:szCs w:val="28"/>
        </w:rPr>
      </w:pPr>
      <w:r w:rsidRPr="006055E2">
        <w:rPr>
          <w:szCs w:val="28"/>
        </w:rPr>
        <w:t>96% опитаних не отримують інформацію з тематики опитування з інших джерел, а користуються лише даними Держстату;</w:t>
      </w:r>
    </w:p>
    <w:p w:rsidR="004F2695" w:rsidRPr="006055E2" w:rsidRDefault="004F2695" w:rsidP="004F2695">
      <w:pPr>
        <w:tabs>
          <w:tab w:val="left" w:pos="993"/>
        </w:tabs>
        <w:ind w:firstLine="567"/>
        <w:rPr>
          <w:szCs w:val="28"/>
        </w:rPr>
      </w:pPr>
      <w:r w:rsidRPr="006055E2">
        <w:rPr>
          <w:szCs w:val="28"/>
        </w:rPr>
        <w:t xml:space="preserve">60% опитаних користувачів зазначили, що з питань сателітного рахунку соціального захисту в своїй роботі використовують показник "загальні видатки на соціальний захист", 26% – "видатки на соціальний захист за окремими схемами", 21% – "надходження коштів на соціальний захист за окремими схемами", </w:t>
      </w:r>
      <w:r w:rsidR="009F469D">
        <w:rPr>
          <w:szCs w:val="28"/>
        </w:rPr>
        <w:t xml:space="preserve">13% </w:t>
      </w:r>
      <w:r w:rsidRPr="006055E2">
        <w:rPr>
          <w:szCs w:val="28"/>
        </w:rPr>
        <w:t>– "видатки на соціальний захист за окремими схемами";</w:t>
      </w:r>
    </w:p>
    <w:p w:rsidR="004F2695" w:rsidRPr="006055E2" w:rsidRDefault="004F2695" w:rsidP="004F2695">
      <w:pPr>
        <w:tabs>
          <w:tab w:val="left" w:pos="993"/>
        </w:tabs>
        <w:ind w:firstLine="567"/>
        <w:rPr>
          <w:szCs w:val="28"/>
        </w:rPr>
      </w:pPr>
      <w:bookmarkStart w:id="1" w:name="_Hlk73697606"/>
      <w:r w:rsidRPr="006055E2">
        <w:rPr>
          <w:szCs w:val="28"/>
        </w:rPr>
        <w:t xml:space="preserve">56% опитаних дали позитивну оцінку за всіма критеріями якості даних щодо </w:t>
      </w:r>
      <w:bookmarkEnd w:id="1"/>
      <w:r w:rsidRPr="006055E2">
        <w:rPr>
          <w:szCs w:val="28"/>
        </w:rPr>
        <w:t>сателітного рахунку соціального захисту, при цьому найбільш важливим критерієм якості статистичної інформації користувачі визначили "Точність/Надійність", на другому місці ‒ "Доступність та Зрозумілість/Ясність", на третьому ‒ "Своєчасність та Пунктуальність", на четвертому – "Відповідність/Релевантність", на п’ятому – "Послідовність/Узгодженіст</w:t>
      </w:r>
      <w:r w:rsidR="008C7338">
        <w:rPr>
          <w:szCs w:val="28"/>
        </w:rPr>
        <w:t>ь та Зіставність/Порівнянність".</w:t>
      </w:r>
    </w:p>
    <w:p w:rsidR="00A93417" w:rsidRPr="006055E2" w:rsidRDefault="00D61143">
      <w:r w:rsidRPr="006055E2">
        <w:lastRenderedPageBreak/>
        <w:t>Більш детальна інформація про результати проведення анкетного опитування наводиться в повідомленні для користувачів</w:t>
      </w:r>
      <w:r w:rsidR="008C7338">
        <w:t>, розміщеному на офіційному веб</w:t>
      </w:r>
      <w:r w:rsidRPr="006055E2">
        <w:t xml:space="preserve">сайті Держстату в розділі "Анкетні опитування". </w:t>
      </w:r>
    </w:p>
    <w:p w:rsidR="00D7191B" w:rsidRPr="006055E2" w:rsidRDefault="00D7191B"/>
    <w:p w:rsidR="00A93417" w:rsidRPr="006055E2" w:rsidRDefault="00D61143">
      <w:pPr>
        <w:pStyle w:val="2"/>
        <w:spacing w:after="168" w:line="240" w:lineRule="auto"/>
        <w:ind w:left="1510" w:hanging="492"/>
        <w:jc w:val="left"/>
      </w:pPr>
      <w:r w:rsidRPr="006055E2">
        <w:t>Ефективність, витрати та навантаження на респондентів</w:t>
      </w:r>
      <w:r w:rsidRPr="006055E2">
        <w:rPr>
          <w:sz w:val="16"/>
        </w:rPr>
        <w:t xml:space="preserve"> </w:t>
      </w:r>
    </w:p>
    <w:p w:rsidR="00597628" w:rsidRPr="00FA0982" w:rsidRDefault="00597628" w:rsidP="00597628">
      <w:r w:rsidRPr="00FA0982">
        <w:t xml:space="preserve">Держстат здійснює щорічну оцінку звітного навантаження на респондентів на підставі Методики вимірювання звітного навантаження на респондентів, затвердженої наказом Держстату від 14.05.2013 № 149. </w:t>
      </w:r>
    </w:p>
    <w:p w:rsidR="00746A14" w:rsidRPr="00A231E0" w:rsidRDefault="00597628" w:rsidP="00597628">
      <w:r w:rsidRPr="00A231E0">
        <w:t>Ураховуючи те, що ДСС здійснюється на основі даних інших державни</w:t>
      </w:r>
      <w:r w:rsidR="009F469D" w:rsidRPr="00A231E0">
        <w:t>х статистичних спостережень та</w:t>
      </w:r>
      <w:r w:rsidRPr="00A231E0">
        <w:t xml:space="preserve"> адміністративних джерел, звітне навантаження на респондентів за цим спостереженням не розраховується, оскільки відсутній безпосередній збір даних від респондентів.</w:t>
      </w:r>
    </w:p>
    <w:p w:rsidR="00597628" w:rsidRPr="00A231E0" w:rsidRDefault="00597628" w:rsidP="00597628"/>
    <w:p w:rsidR="00A93417" w:rsidRPr="00A231E0" w:rsidRDefault="00D61143">
      <w:pPr>
        <w:pStyle w:val="2"/>
        <w:spacing w:after="168" w:line="240" w:lineRule="auto"/>
        <w:ind w:left="2763" w:hanging="492"/>
        <w:jc w:val="left"/>
      </w:pPr>
      <w:r w:rsidRPr="00A231E0">
        <w:t>Конфіденційність, прозорість та захист</w:t>
      </w:r>
      <w:r w:rsidRPr="00A231E0">
        <w:rPr>
          <w:sz w:val="24"/>
        </w:rPr>
        <w:t xml:space="preserve"> </w:t>
      </w:r>
    </w:p>
    <w:p w:rsidR="00A93417" w:rsidRPr="00A231E0" w:rsidRDefault="00D61143">
      <w:pPr>
        <w:spacing w:after="164" w:line="236" w:lineRule="auto"/>
        <w:ind w:right="27"/>
      </w:pPr>
      <w:r w:rsidRPr="00A231E0">
        <w:rPr>
          <w:i/>
        </w:rPr>
        <w:t xml:space="preserve">Знеособлення постачальників даних, конфіденційність інформації, яку вони надають, та її використання тільки у статистичних цілях мають бути гарантовані. Органи державної статистики мають поширювати статистичні дані об'єктивно, професійно та прозоро. </w:t>
      </w:r>
    </w:p>
    <w:p w:rsidR="000C283F" w:rsidRPr="00A231E0" w:rsidRDefault="000C283F" w:rsidP="000C283F">
      <w:pPr>
        <w:pStyle w:val="Default"/>
        <w:spacing w:after="60"/>
        <w:ind w:firstLine="567"/>
        <w:jc w:val="both"/>
        <w:rPr>
          <w:color w:val="auto"/>
          <w:sz w:val="28"/>
          <w:szCs w:val="28"/>
          <w:lang w:val="uk-UA"/>
        </w:rPr>
      </w:pPr>
      <w:r w:rsidRPr="00A231E0">
        <w:rPr>
          <w:color w:val="auto"/>
          <w:sz w:val="28"/>
          <w:szCs w:val="28"/>
          <w:lang w:val="uk-UA"/>
        </w:rPr>
        <w:t xml:space="preserve">Захист конфіденційної статистичної інформації є одним із основних принципів  проведення ДСС. </w:t>
      </w:r>
    </w:p>
    <w:p w:rsidR="002A211E" w:rsidRPr="005A0EA7" w:rsidRDefault="006002A0" w:rsidP="00746A14">
      <w:pPr>
        <w:spacing w:after="177" w:line="240" w:lineRule="auto"/>
        <w:ind w:left="0" w:right="0" w:firstLine="567"/>
      </w:pPr>
      <w:r w:rsidRPr="00A231E0">
        <w:t>Забезпечення конфіденційності статистичної інформації ДСС здійсню</w:t>
      </w:r>
      <w:r w:rsidR="00597628" w:rsidRPr="00A231E0">
        <w:t xml:space="preserve">ється </w:t>
      </w:r>
      <w:r w:rsidRPr="00A231E0">
        <w:t xml:space="preserve">відповідно до вимог законів України "Про державну статистику", "Про інформацію", "Про доступ до публічної інформації" </w:t>
      </w:r>
      <w:r w:rsidR="002A211E" w:rsidRPr="00A231E0">
        <w:t>з урахуванням Методологічних положень щодо забезпечення статистичної конфіденційності в органах державної статистики, затверджених наказом Держстату від 15.02.2017 № 41, міжнародних вимог до правил конфіденційності статис</w:t>
      </w:r>
      <w:r w:rsidR="009F469D" w:rsidRPr="00A231E0">
        <w:t xml:space="preserve">тичної інформації згідно з </w:t>
      </w:r>
      <w:r w:rsidR="002A211E" w:rsidRPr="00A231E0">
        <w:t>по</w:t>
      </w:r>
      <w:r w:rsidR="009F469D" w:rsidRPr="00A231E0">
        <w:t>ложеннями</w:t>
      </w:r>
      <w:r w:rsidR="002A211E" w:rsidRPr="00A231E0">
        <w:t xml:space="preserve"> Регламенту (ЄС) № 223/2009 Європейського Парламенту та Ради від 11.03.2009, Регламенту Комісії (ЄС) № 557/2013</w:t>
      </w:r>
      <w:r w:rsidR="002A211E" w:rsidRPr="005A0EA7">
        <w:t xml:space="preserve"> від 17.06.2013. </w:t>
      </w:r>
    </w:p>
    <w:p w:rsidR="009C6294" w:rsidRPr="006055E2" w:rsidRDefault="00746A14" w:rsidP="00746A14">
      <w:pPr>
        <w:spacing w:after="177" w:line="240" w:lineRule="auto"/>
        <w:ind w:left="0" w:right="0" w:firstLine="567"/>
      </w:pPr>
      <w:r w:rsidRPr="005A0EA7">
        <w:t xml:space="preserve">Конфіденційними </w:t>
      </w:r>
      <w:r w:rsidR="006002A0" w:rsidRPr="005A0EA7">
        <w:t>даними</w:t>
      </w:r>
      <w:r w:rsidRPr="005A0EA7">
        <w:t xml:space="preserve"> ДСС </w:t>
      </w:r>
      <w:r w:rsidR="006002A0" w:rsidRPr="005A0EA7">
        <w:t>"</w:t>
      </w:r>
      <w:r w:rsidRPr="005A0EA7">
        <w:t xml:space="preserve">Сателітний рахунок </w:t>
      </w:r>
      <w:r w:rsidR="00E33D1C" w:rsidRPr="005A0EA7">
        <w:t>соціального захисту</w:t>
      </w:r>
      <w:r w:rsidR="006002A0" w:rsidRPr="005A0EA7">
        <w:t>"</w:t>
      </w:r>
      <w:r w:rsidR="00E33D1C" w:rsidRPr="005A0EA7">
        <w:t xml:space="preserve"> </w:t>
      </w:r>
      <w:r w:rsidRPr="005A0EA7">
        <w:t>є:</w:t>
      </w:r>
      <w:r w:rsidRPr="006055E2">
        <w:t xml:space="preserve"> </w:t>
      </w:r>
    </w:p>
    <w:p w:rsidR="009C6294" w:rsidRPr="006055E2" w:rsidRDefault="00746A14" w:rsidP="00746A14">
      <w:pPr>
        <w:spacing w:after="177" w:line="240" w:lineRule="auto"/>
        <w:ind w:left="0" w:right="0" w:firstLine="567"/>
      </w:pPr>
      <w:r w:rsidRPr="009231D2">
        <w:t>агреговані статистичні дані інш</w:t>
      </w:r>
      <w:r w:rsidR="005A0EA7" w:rsidRPr="009231D2">
        <w:t>ого</w:t>
      </w:r>
      <w:r w:rsidRPr="009231D2">
        <w:t xml:space="preserve"> державн</w:t>
      </w:r>
      <w:r w:rsidR="005A0EA7" w:rsidRPr="009231D2">
        <w:t>ого</w:t>
      </w:r>
      <w:r w:rsidRPr="009231D2">
        <w:t xml:space="preserve"> статистичн</w:t>
      </w:r>
      <w:r w:rsidR="005A0EA7" w:rsidRPr="009231D2">
        <w:t>ого</w:t>
      </w:r>
      <w:r w:rsidRPr="009231D2">
        <w:t xml:space="preserve"> спостережен</w:t>
      </w:r>
      <w:r w:rsidR="005A0EA7" w:rsidRPr="009231D2">
        <w:t>ня</w:t>
      </w:r>
      <w:r w:rsidRPr="009231D2">
        <w:t>, які мають ризик розкриття первинних даних щодо одиниці статистичного спостереження;</w:t>
      </w:r>
      <w:r w:rsidRPr="006055E2">
        <w:t xml:space="preserve"> </w:t>
      </w:r>
    </w:p>
    <w:p w:rsidR="009C6294" w:rsidRPr="006055E2" w:rsidRDefault="00746A14" w:rsidP="00746A14">
      <w:pPr>
        <w:spacing w:after="177" w:line="240" w:lineRule="auto"/>
        <w:ind w:left="0" w:right="0" w:firstLine="567"/>
      </w:pPr>
      <w:r w:rsidRPr="006055E2">
        <w:t xml:space="preserve">адміністративні дані, надані органам державної статистики відповідно до угод щодо взаємообміну інформаційними ресурсами між Держстатом та іншими державними органами, установами, організаціями; </w:t>
      </w:r>
    </w:p>
    <w:p w:rsidR="009C6294" w:rsidRPr="006055E2" w:rsidRDefault="00746A14" w:rsidP="00746A14">
      <w:pPr>
        <w:spacing w:after="177" w:line="240" w:lineRule="auto"/>
        <w:ind w:left="0" w:right="0" w:firstLine="567"/>
      </w:pPr>
      <w:r w:rsidRPr="006055E2">
        <w:t>складові показників системи розрахунків, які містять зазначені вище дані.</w:t>
      </w:r>
    </w:p>
    <w:p w:rsidR="009C6294" w:rsidRPr="006055E2" w:rsidRDefault="00746A14" w:rsidP="00746A14">
      <w:pPr>
        <w:spacing w:after="177" w:line="240" w:lineRule="auto"/>
        <w:ind w:left="0" w:right="0" w:firstLine="567"/>
      </w:pPr>
      <w:r w:rsidRPr="006055E2">
        <w:lastRenderedPageBreak/>
        <w:t xml:space="preserve">Для забезпечення встановлених національним і міжнародним законодавством гарантій перед респондентами щодо забезпечення конфіденційності статистичної інформації отримана за результатами цього спостереження статистична інформація використовується виключно для статистичних цілей та надається користувачам у зведеному знеособленому вигляді. </w:t>
      </w:r>
    </w:p>
    <w:p w:rsidR="005A0EA7" w:rsidRDefault="005A0EA7">
      <w:pPr>
        <w:pStyle w:val="1"/>
        <w:numPr>
          <w:ilvl w:val="0"/>
          <w:numId w:val="0"/>
        </w:numPr>
      </w:pPr>
    </w:p>
    <w:p w:rsidR="00A93417" w:rsidRPr="006055E2" w:rsidRDefault="007A72AE">
      <w:pPr>
        <w:pStyle w:val="1"/>
        <w:numPr>
          <w:ilvl w:val="0"/>
          <w:numId w:val="0"/>
        </w:numPr>
      </w:pPr>
      <w:r w:rsidRPr="006055E2">
        <w:t xml:space="preserve">3. </w:t>
      </w:r>
      <w:r w:rsidR="00D61143" w:rsidRPr="006055E2">
        <w:t xml:space="preserve">Заключна частина </w:t>
      </w:r>
    </w:p>
    <w:p w:rsidR="007A72AE" w:rsidRPr="00A231E0" w:rsidRDefault="007A72AE" w:rsidP="007A72AE">
      <w:r w:rsidRPr="00A231E0">
        <w:t xml:space="preserve">Важливою умовою подальшого розвитку ДСС є забезпечення існуючих інформаційних потреб користувачів статистичної інформації та оптимізація процесу статистичного виробництва. </w:t>
      </w:r>
    </w:p>
    <w:p w:rsidR="007A72AE" w:rsidRPr="00A231E0" w:rsidRDefault="007A72AE" w:rsidP="007A72AE">
      <w:r w:rsidRPr="00A231E0">
        <w:t>Передбачаються такі основні напрями подальшого вдосконалення ДСС:</w:t>
      </w:r>
    </w:p>
    <w:p w:rsidR="0044426E" w:rsidRPr="00A231E0" w:rsidRDefault="0044426E" w:rsidP="007A72AE">
      <w:r w:rsidRPr="00A231E0">
        <w:t>опрацювання питання щодо визначення додаткових джерел адміністративних даних</w:t>
      </w:r>
      <w:r w:rsidR="00F1628B" w:rsidRPr="00A231E0">
        <w:t xml:space="preserve"> (пошук нових </w:t>
      </w:r>
      <w:r w:rsidR="00BB1D7B" w:rsidRPr="00A231E0">
        <w:t xml:space="preserve">джерел даних </w:t>
      </w:r>
      <w:r w:rsidR="00F1628B" w:rsidRPr="00A231E0">
        <w:t>органів державної в</w:t>
      </w:r>
      <w:r w:rsidR="009F469D" w:rsidRPr="00A231E0">
        <w:t>л</w:t>
      </w:r>
      <w:r w:rsidR="00F1628B" w:rsidRPr="00A231E0">
        <w:t>ади</w:t>
      </w:r>
      <w:r w:rsidR="009F469D" w:rsidRPr="00A231E0">
        <w:t>,</w:t>
      </w:r>
      <w:r w:rsidR="00F1628B" w:rsidRPr="00A231E0">
        <w:t xml:space="preserve"> які приймають участь </w:t>
      </w:r>
      <w:r w:rsidR="00BB1D7B" w:rsidRPr="00A231E0">
        <w:t>у забезпеченні соціального захисту населення країни)</w:t>
      </w:r>
      <w:r w:rsidRPr="00A231E0">
        <w:t xml:space="preserve"> з метою подальшого вдосконалення ДСС;</w:t>
      </w:r>
    </w:p>
    <w:p w:rsidR="007A72AE" w:rsidRPr="006055E2" w:rsidRDefault="00F1628B">
      <w:r w:rsidRPr="00A231E0">
        <w:t>р</w:t>
      </w:r>
      <w:r w:rsidR="007A72AE" w:rsidRPr="00A231E0">
        <w:t xml:space="preserve">озроблення методологічних положень ДСС "Сателітний рахунок </w:t>
      </w:r>
      <w:r w:rsidR="000C258B" w:rsidRPr="00A231E0">
        <w:t>соціального захисту</w:t>
      </w:r>
      <w:r w:rsidR="007A72AE" w:rsidRPr="00A231E0">
        <w:t xml:space="preserve">" у відповідності до Методичних рекомендацій з проєктування статистичної методології, затверджених наказом </w:t>
      </w:r>
      <w:r w:rsidR="009F469D" w:rsidRPr="00A231E0">
        <w:t>від 28 грудня 2020 року</w:t>
      </w:r>
      <w:r w:rsidR="007A72AE" w:rsidRPr="00A231E0">
        <w:t xml:space="preserve"> № 361 (зі змінами), </w:t>
      </w:r>
      <w:r w:rsidR="005A0EA7" w:rsidRPr="00A231E0">
        <w:t xml:space="preserve">з урахуванням методологічних роз'яснень щодо Європейської системи інтегрованої статистики </w:t>
      </w:r>
      <w:r w:rsidR="00C94FB0" w:rsidRPr="00A231E0">
        <w:t xml:space="preserve">соціального захисту (ESSPROS) від 22.02.2021 та </w:t>
      </w:r>
      <w:r w:rsidR="007A72AE" w:rsidRPr="00A231E0">
        <w:t>положень міжнародних стандартів Системи національних рахунків ООН 2008 року (СНР) та Регламенту (EC) від 21.05.2013 № 549/2013 Європейського Парламенту і Ради до Європейської системи національних та регіональних рахунків 2010 року.</w:t>
      </w:r>
    </w:p>
    <w:p w:rsidR="00A93417" w:rsidRPr="006055E2" w:rsidRDefault="00D61143">
      <w:pPr>
        <w:spacing w:after="0" w:line="240" w:lineRule="auto"/>
        <w:ind w:left="566" w:right="0" w:firstLine="0"/>
        <w:jc w:val="left"/>
      </w:pPr>
      <w:r w:rsidRPr="006055E2">
        <w:t xml:space="preserve"> </w:t>
      </w:r>
    </w:p>
    <w:sectPr w:rsidR="00A93417" w:rsidRPr="006055E2">
      <w:headerReference w:type="even" r:id="rId10"/>
      <w:headerReference w:type="default" r:id="rId11"/>
      <w:headerReference w:type="first" r:id="rId12"/>
      <w:pgSz w:w="11906" w:h="16838"/>
      <w:pgMar w:top="1137" w:right="460" w:bottom="1029" w:left="1702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31A" w:rsidRDefault="006A631A">
      <w:pPr>
        <w:spacing w:after="0" w:line="240" w:lineRule="auto"/>
      </w:pPr>
      <w:r>
        <w:separator/>
      </w:r>
    </w:p>
  </w:endnote>
  <w:endnote w:type="continuationSeparator" w:id="0">
    <w:p w:rsidR="006A631A" w:rsidRDefault="006A6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31A" w:rsidRDefault="006A631A">
      <w:pPr>
        <w:spacing w:after="0" w:line="240" w:lineRule="auto"/>
      </w:pPr>
      <w:r>
        <w:separator/>
      </w:r>
    </w:p>
  </w:footnote>
  <w:footnote w:type="continuationSeparator" w:id="0">
    <w:p w:rsidR="006A631A" w:rsidRDefault="006A6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417" w:rsidRDefault="00D61143">
    <w:pPr>
      <w:spacing w:after="0" w:line="240" w:lineRule="auto"/>
      <w:ind w:left="0" w:righ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587952"/>
      <w:docPartObj>
        <w:docPartGallery w:val="Page Numbers (Top of Page)"/>
        <w:docPartUnique/>
      </w:docPartObj>
    </w:sdtPr>
    <w:sdtEndPr/>
    <w:sdtContent>
      <w:p w:rsidR="002E4518" w:rsidRDefault="002E45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451">
          <w:rPr>
            <w:noProof/>
          </w:rPr>
          <w:t>10</w:t>
        </w:r>
        <w:r>
          <w:fldChar w:fldCharType="end"/>
        </w:r>
      </w:p>
    </w:sdtContent>
  </w:sdt>
  <w:p w:rsidR="00A93417" w:rsidRDefault="00A93417">
    <w:pPr>
      <w:spacing w:after="0" w:line="240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417" w:rsidRDefault="00A93417">
    <w:pPr>
      <w:spacing w:after="0" w:line="276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81DBDD0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B834C2E"/>
    <w:multiLevelType w:val="hybridMultilevel"/>
    <w:tmpl w:val="868AE340"/>
    <w:lvl w:ilvl="0" w:tplc="4322F7C2">
      <w:start w:val="3"/>
      <w:numFmt w:val="bullet"/>
      <w:lvlText w:val="-"/>
      <w:lvlJc w:val="left"/>
      <w:pPr>
        <w:ind w:left="90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">
    <w:nsid w:val="75922FFB"/>
    <w:multiLevelType w:val="multilevel"/>
    <w:tmpl w:val="ECF2B4A6"/>
    <w:lvl w:ilvl="0">
      <w:start w:val="1"/>
      <w:numFmt w:val="decimal"/>
      <w:pStyle w:val="1"/>
      <w:lvlText w:val="%1."/>
      <w:lvlJc w:val="left"/>
      <w:pPr>
        <w:ind w:left="2553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2808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888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608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328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6048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768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488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8208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17"/>
    <w:rsid w:val="00042062"/>
    <w:rsid w:val="00045D9B"/>
    <w:rsid w:val="000516F7"/>
    <w:rsid w:val="0006193D"/>
    <w:rsid w:val="000741F6"/>
    <w:rsid w:val="00075451"/>
    <w:rsid w:val="000A0C01"/>
    <w:rsid w:val="000B0F7B"/>
    <w:rsid w:val="000B41C1"/>
    <w:rsid w:val="000C258B"/>
    <w:rsid w:val="000C283F"/>
    <w:rsid w:val="0010709D"/>
    <w:rsid w:val="0011318F"/>
    <w:rsid w:val="00121DDB"/>
    <w:rsid w:val="00137751"/>
    <w:rsid w:val="00151FE7"/>
    <w:rsid w:val="00155DFC"/>
    <w:rsid w:val="001642A2"/>
    <w:rsid w:val="001652B4"/>
    <w:rsid w:val="00197313"/>
    <w:rsid w:val="001A5843"/>
    <w:rsid w:val="001D1460"/>
    <w:rsid w:val="001D7B14"/>
    <w:rsid w:val="001F1FCB"/>
    <w:rsid w:val="00207163"/>
    <w:rsid w:val="002A211E"/>
    <w:rsid w:val="002E4518"/>
    <w:rsid w:val="00350325"/>
    <w:rsid w:val="003612BA"/>
    <w:rsid w:val="00391D64"/>
    <w:rsid w:val="003E6401"/>
    <w:rsid w:val="003F5627"/>
    <w:rsid w:val="0044426E"/>
    <w:rsid w:val="0044474A"/>
    <w:rsid w:val="00456751"/>
    <w:rsid w:val="00475A8D"/>
    <w:rsid w:val="00485963"/>
    <w:rsid w:val="00494754"/>
    <w:rsid w:val="004A5225"/>
    <w:rsid w:val="004F2695"/>
    <w:rsid w:val="00517A7A"/>
    <w:rsid w:val="005232B1"/>
    <w:rsid w:val="00531301"/>
    <w:rsid w:val="00550861"/>
    <w:rsid w:val="00597628"/>
    <w:rsid w:val="00597708"/>
    <w:rsid w:val="005A0EA7"/>
    <w:rsid w:val="005A39F0"/>
    <w:rsid w:val="005B786E"/>
    <w:rsid w:val="006002A0"/>
    <w:rsid w:val="006055E2"/>
    <w:rsid w:val="00610EA0"/>
    <w:rsid w:val="006317A2"/>
    <w:rsid w:val="00636D6E"/>
    <w:rsid w:val="00666813"/>
    <w:rsid w:val="006A631A"/>
    <w:rsid w:val="006C5AA3"/>
    <w:rsid w:val="006E0291"/>
    <w:rsid w:val="007374DC"/>
    <w:rsid w:val="00746A14"/>
    <w:rsid w:val="00780865"/>
    <w:rsid w:val="007A72AE"/>
    <w:rsid w:val="007C3D9A"/>
    <w:rsid w:val="007C5D44"/>
    <w:rsid w:val="007D25B0"/>
    <w:rsid w:val="007D3844"/>
    <w:rsid w:val="007E0265"/>
    <w:rsid w:val="007E0F5B"/>
    <w:rsid w:val="007F30C4"/>
    <w:rsid w:val="00822D12"/>
    <w:rsid w:val="00853BD9"/>
    <w:rsid w:val="0087667A"/>
    <w:rsid w:val="008A7CF8"/>
    <w:rsid w:val="008B3A7A"/>
    <w:rsid w:val="008C6322"/>
    <w:rsid w:val="008C7338"/>
    <w:rsid w:val="008D43B0"/>
    <w:rsid w:val="008E15BD"/>
    <w:rsid w:val="009119E1"/>
    <w:rsid w:val="0092306A"/>
    <w:rsid w:val="009231D2"/>
    <w:rsid w:val="009309B7"/>
    <w:rsid w:val="00965E4B"/>
    <w:rsid w:val="009734C6"/>
    <w:rsid w:val="009C6294"/>
    <w:rsid w:val="009E3980"/>
    <w:rsid w:val="009F469D"/>
    <w:rsid w:val="009F57F9"/>
    <w:rsid w:val="00A175FD"/>
    <w:rsid w:val="00A231E0"/>
    <w:rsid w:val="00A579AE"/>
    <w:rsid w:val="00A93417"/>
    <w:rsid w:val="00AA1688"/>
    <w:rsid w:val="00AE2300"/>
    <w:rsid w:val="00B11122"/>
    <w:rsid w:val="00B471BA"/>
    <w:rsid w:val="00B757CD"/>
    <w:rsid w:val="00B75E1C"/>
    <w:rsid w:val="00B807C7"/>
    <w:rsid w:val="00B83607"/>
    <w:rsid w:val="00BB1D7B"/>
    <w:rsid w:val="00BD3C65"/>
    <w:rsid w:val="00BF7682"/>
    <w:rsid w:val="00C321B4"/>
    <w:rsid w:val="00C76322"/>
    <w:rsid w:val="00C84034"/>
    <w:rsid w:val="00C94FB0"/>
    <w:rsid w:val="00CA6813"/>
    <w:rsid w:val="00D05492"/>
    <w:rsid w:val="00D31DEB"/>
    <w:rsid w:val="00D36C69"/>
    <w:rsid w:val="00D61143"/>
    <w:rsid w:val="00D7191B"/>
    <w:rsid w:val="00DB1E00"/>
    <w:rsid w:val="00DC5CA6"/>
    <w:rsid w:val="00DE7BF2"/>
    <w:rsid w:val="00E0774A"/>
    <w:rsid w:val="00E33D1C"/>
    <w:rsid w:val="00E40BCA"/>
    <w:rsid w:val="00E41204"/>
    <w:rsid w:val="00E8339D"/>
    <w:rsid w:val="00E8710D"/>
    <w:rsid w:val="00EA171D"/>
    <w:rsid w:val="00EC6621"/>
    <w:rsid w:val="00EE625A"/>
    <w:rsid w:val="00EF5FD1"/>
    <w:rsid w:val="00EF6681"/>
    <w:rsid w:val="00F06179"/>
    <w:rsid w:val="00F1628B"/>
    <w:rsid w:val="00F51E82"/>
    <w:rsid w:val="00F83C38"/>
    <w:rsid w:val="00F947AB"/>
    <w:rsid w:val="00FA0982"/>
    <w:rsid w:val="00FB4073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54C3E-FAC0-44C4-89FD-865DB05B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2" w:line="244" w:lineRule="auto"/>
      <w:ind w:left="-15" w:right="29"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"/>
      </w:numPr>
      <w:spacing w:after="158" w:line="246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i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numPr>
        <w:ilvl w:val="1"/>
        <w:numId w:val="1"/>
      </w:numPr>
      <w:spacing w:after="158" w:line="246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68" w:line="240" w:lineRule="auto"/>
      <w:ind w:left="825" w:right="-15" w:hanging="10"/>
      <w:outlineLvl w:val="2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i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000000"/>
      <w:sz w:val="28"/>
    </w:rPr>
  </w:style>
  <w:style w:type="paragraph" w:styleId="11">
    <w:name w:val="toc 1"/>
    <w:hidden/>
    <w:pPr>
      <w:spacing w:after="101" w:line="244" w:lineRule="auto"/>
      <w:ind w:left="15" w:right="3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1">
    <w:name w:val="toc 2"/>
    <w:hidden/>
    <w:pPr>
      <w:spacing w:after="78" w:line="244" w:lineRule="auto"/>
      <w:ind w:left="15" w:right="3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447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footer"/>
    <w:basedOn w:val="a"/>
    <w:link w:val="a4"/>
    <w:uiPriority w:val="99"/>
    <w:unhideWhenUsed/>
    <w:rsid w:val="002E4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E4518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header"/>
    <w:basedOn w:val="a"/>
    <w:link w:val="a6"/>
    <w:uiPriority w:val="99"/>
    <w:unhideWhenUsed/>
    <w:rsid w:val="002E4518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2E4518"/>
    <w:rPr>
      <w:rFonts w:cs="Times New Roman"/>
    </w:rPr>
  </w:style>
  <w:style w:type="character" w:styleId="a7">
    <w:name w:val="Hyperlink"/>
    <w:rsid w:val="00F947AB"/>
    <w:rPr>
      <w:color w:val="0563C1"/>
      <w:u w:val="single"/>
    </w:rPr>
  </w:style>
  <w:style w:type="character" w:styleId="a8">
    <w:name w:val="Emphasis"/>
    <w:qFormat/>
    <w:rsid w:val="00965E4B"/>
    <w:rPr>
      <w:b/>
      <w:bCs/>
      <w:i w:val="0"/>
      <w:iCs w:val="0"/>
    </w:rPr>
  </w:style>
  <w:style w:type="paragraph" w:styleId="a9">
    <w:name w:val="List Paragraph"/>
    <w:basedOn w:val="a"/>
    <w:uiPriority w:val="34"/>
    <w:qFormat/>
    <w:rsid w:val="007A7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stat.gov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c.europa.eu/eurostat/web/social-protection/legislatio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c.europa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10</Pages>
  <Words>11676</Words>
  <Characters>6656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N.Bilenka</dc:creator>
  <cp:keywords/>
  <cp:lastModifiedBy>O.Bondar</cp:lastModifiedBy>
  <cp:revision>30</cp:revision>
  <dcterms:created xsi:type="dcterms:W3CDTF">2022-09-28T13:52:00Z</dcterms:created>
  <dcterms:modified xsi:type="dcterms:W3CDTF">2022-12-13T14:51:00Z</dcterms:modified>
</cp:coreProperties>
</file>