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EC2ABD" w14:textId="77777777" w:rsidR="00B735A1" w:rsidRPr="006C7B11" w:rsidRDefault="00B735A1" w:rsidP="00B735A1">
      <w:pPr>
        <w:pStyle w:val="3"/>
        <w:ind w:firstLine="0"/>
        <w:rPr>
          <w:i w:val="0"/>
          <w:sz w:val="28"/>
        </w:rPr>
      </w:pPr>
      <w:r w:rsidRPr="006C7B11">
        <w:rPr>
          <w:i w:val="0"/>
          <w:sz w:val="28"/>
        </w:rPr>
        <w:t>Соціально-економічне становище</w:t>
      </w:r>
    </w:p>
    <w:p w14:paraId="6430540C" w14:textId="77777777" w:rsidR="00B735A1" w:rsidRPr="006C7B11" w:rsidRDefault="00B735A1" w:rsidP="00B735A1">
      <w:pPr>
        <w:pStyle w:val="3"/>
        <w:ind w:firstLine="0"/>
        <w:rPr>
          <w:i w:val="0"/>
          <w:sz w:val="28"/>
        </w:rPr>
      </w:pPr>
      <w:r w:rsidRPr="006C7B11">
        <w:rPr>
          <w:i w:val="0"/>
          <w:sz w:val="28"/>
        </w:rPr>
        <w:t>домогосподарств України у 20</w:t>
      </w:r>
      <w:r w:rsidR="00747094" w:rsidRPr="006C7B11">
        <w:rPr>
          <w:i w:val="0"/>
          <w:sz w:val="28"/>
        </w:rPr>
        <w:t>2</w:t>
      </w:r>
      <w:r w:rsidR="007E5A11" w:rsidRPr="001A67C4">
        <w:rPr>
          <w:i w:val="0"/>
          <w:sz w:val="28"/>
          <w:lang w:val="ru-RU"/>
        </w:rPr>
        <w:t>1</w:t>
      </w:r>
      <w:r w:rsidR="00747094" w:rsidRPr="006C7B11">
        <w:rPr>
          <w:i w:val="0"/>
          <w:sz w:val="28"/>
        </w:rPr>
        <w:t xml:space="preserve"> </w:t>
      </w:r>
      <w:r w:rsidRPr="006C7B11">
        <w:rPr>
          <w:i w:val="0"/>
          <w:sz w:val="28"/>
        </w:rPr>
        <w:t>році</w:t>
      </w:r>
    </w:p>
    <w:p w14:paraId="2D1543D3" w14:textId="77777777" w:rsidR="00B735A1" w:rsidRPr="006C7B11" w:rsidRDefault="00B735A1" w:rsidP="00B735A1">
      <w:pPr>
        <w:pStyle w:val="3"/>
        <w:ind w:firstLine="0"/>
        <w:rPr>
          <w:b w:val="0"/>
          <w:i w:val="0"/>
          <w:sz w:val="8"/>
          <w:szCs w:val="8"/>
        </w:rPr>
      </w:pPr>
    </w:p>
    <w:p w14:paraId="23D7CBF9" w14:textId="77777777" w:rsidR="00B735A1" w:rsidRPr="006C7B11" w:rsidRDefault="00B735A1" w:rsidP="00B735A1">
      <w:pPr>
        <w:jc w:val="center"/>
        <w:rPr>
          <w:b/>
          <w:sz w:val="24"/>
          <w:szCs w:val="24"/>
        </w:rPr>
      </w:pPr>
      <w:r w:rsidRPr="006C7B11">
        <w:rPr>
          <w:b/>
          <w:sz w:val="24"/>
          <w:szCs w:val="24"/>
        </w:rPr>
        <w:t>(за даними вибіркового обстеження умов життя домогосподарств)</w:t>
      </w:r>
    </w:p>
    <w:p w14:paraId="28B8CC86" w14:textId="77777777" w:rsidR="0088040C" w:rsidRPr="006C7B11" w:rsidRDefault="0088040C" w:rsidP="00B735A1">
      <w:pPr>
        <w:pStyle w:val="a4"/>
        <w:ind w:firstLine="567"/>
        <w:jc w:val="both"/>
        <w:rPr>
          <w:sz w:val="28"/>
        </w:rPr>
      </w:pPr>
    </w:p>
    <w:p w14:paraId="548B0BF1" w14:textId="3B08FA9D" w:rsidR="00B735A1" w:rsidRPr="00D7673F" w:rsidRDefault="00B735A1" w:rsidP="00B735A1">
      <w:pPr>
        <w:pStyle w:val="a4"/>
        <w:ind w:firstLine="567"/>
        <w:jc w:val="both"/>
        <w:rPr>
          <w:sz w:val="28"/>
        </w:rPr>
      </w:pPr>
      <w:r w:rsidRPr="00D7673F">
        <w:rPr>
          <w:sz w:val="28"/>
        </w:rPr>
        <w:t>З метою дослідження рівня життя різних соціальних груп населення Держстат у 20</w:t>
      </w:r>
      <w:r w:rsidR="006C77AD" w:rsidRPr="00D7673F">
        <w:rPr>
          <w:sz w:val="28"/>
        </w:rPr>
        <w:t>2</w:t>
      </w:r>
      <w:r w:rsidR="00692D00" w:rsidRPr="00D7673F">
        <w:rPr>
          <w:sz w:val="28"/>
          <w:lang w:val="ru-RU"/>
        </w:rPr>
        <w:t>1</w:t>
      </w:r>
      <w:r w:rsidRPr="00D7673F">
        <w:rPr>
          <w:sz w:val="28"/>
        </w:rPr>
        <w:t xml:space="preserve">р. провів обстеження </w:t>
      </w:r>
      <w:r w:rsidR="006C77AD" w:rsidRPr="00D7673F">
        <w:rPr>
          <w:sz w:val="28"/>
        </w:rPr>
        <w:t>7,</w:t>
      </w:r>
      <w:r w:rsidR="00692D00" w:rsidRPr="00D7673F">
        <w:rPr>
          <w:sz w:val="28"/>
          <w:lang w:val="ru-RU"/>
        </w:rPr>
        <w:t>6</w:t>
      </w:r>
      <w:r w:rsidRPr="00D7673F">
        <w:rPr>
          <w:sz w:val="28"/>
        </w:rPr>
        <w:t xml:space="preserve"> тис. домогосподарств</w:t>
      </w:r>
      <w:r w:rsidRPr="00D7673F">
        <w:rPr>
          <w:rStyle w:val="a8"/>
          <w:sz w:val="22"/>
          <w:szCs w:val="22"/>
        </w:rPr>
        <w:footnoteReference w:id="1"/>
      </w:r>
      <w:r w:rsidRPr="00D7673F">
        <w:rPr>
          <w:sz w:val="28"/>
        </w:rPr>
        <w:t>.</w:t>
      </w:r>
    </w:p>
    <w:p w14:paraId="7555FF87" w14:textId="74ACBEC9" w:rsidR="006D6415" w:rsidRPr="00D7673F" w:rsidRDefault="006D6415" w:rsidP="00012078">
      <w:pPr>
        <w:pStyle w:val="a4"/>
        <w:ind w:firstLine="567"/>
        <w:jc w:val="both"/>
        <w:rPr>
          <w:sz w:val="28"/>
          <w:lang w:val="ru-RU"/>
        </w:rPr>
      </w:pPr>
      <w:r w:rsidRPr="00D7673F">
        <w:rPr>
          <w:b/>
          <w:sz w:val="28"/>
        </w:rPr>
        <w:t xml:space="preserve">Середньомісячні загальні доходи </w:t>
      </w:r>
      <w:r w:rsidRPr="00D7673F">
        <w:rPr>
          <w:sz w:val="28"/>
        </w:rPr>
        <w:t>одного домогосподарства у 20</w:t>
      </w:r>
      <w:r w:rsidRPr="00D7673F">
        <w:rPr>
          <w:sz w:val="28"/>
          <w:lang w:val="ru-RU"/>
        </w:rPr>
        <w:t>2</w:t>
      </w:r>
      <w:r w:rsidR="00692D00" w:rsidRPr="00D7673F">
        <w:rPr>
          <w:sz w:val="28"/>
          <w:lang w:val="ru-RU"/>
        </w:rPr>
        <w:t>1</w:t>
      </w:r>
      <w:r w:rsidRPr="00D7673F">
        <w:rPr>
          <w:sz w:val="28"/>
        </w:rPr>
        <w:t xml:space="preserve">р. становили </w:t>
      </w:r>
      <w:r w:rsidRPr="00D7673F">
        <w:rPr>
          <w:sz w:val="28"/>
          <w:lang w:val="ru-RU"/>
        </w:rPr>
        <w:t>1</w:t>
      </w:r>
      <w:r w:rsidR="00692D00" w:rsidRPr="00D7673F">
        <w:rPr>
          <w:sz w:val="28"/>
          <w:lang w:val="ru-RU"/>
        </w:rPr>
        <w:t>4</w:t>
      </w:r>
      <w:r w:rsidRPr="00D7673F">
        <w:rPr>
          <w:sz w:val="28"/>
          <w:lang w:val="ru-RU"/>
        </w:rPr>
        <w:t>248</w:t>
      </w:r>
      <w:r w:rsidRPr="00D7673F">
        <w:rPr>
          <w:sz w:val="28"/>
        </w:rPr>
        <w:t xml:space="preserve"> грн. Міське домогосподарство отримувало в середньому за місяць </w:t>
      </w:r>
      <w:r w:rsidRPr="00D7673F">
        <w:rPr>
          <w:sz w:val="28"/>
          <w:lang w:val="ru-RU"/>
        </w:rPr>
        <w:t>1</w:t>
      </w:r>
      <w:r w:rsidR="00C15F76" w:rsidRPr="00D7673F">
        <w:rPr>
          <w:sz w:val="28"/>
          <w:lang w:val="ru-RU"/>
        </w:rPr>
        <w:t>4754</w:t>
      </w:r>
      <w:r w:rsidRPr="00D7673F">
        <w:rPr>
          <w:sz w:val="28"/>
        </w:rPr>
        <w:t xml:space="preserve"> грн, сільське – </w:t>
      </w:r>
      <w:r w:rsidRPr="00D7673F">
        <w:rPr>
          <w:sz w:val="28"/>
          <w:lang w:val="ru-RU"/>
        </w:rPr>
        <w:t>1</w:t>
      </w:r>
      <w:r w:rsidR="00C15F76" w:rsidRPr="00D7673F">
        <w:rPr>
          <w:sz w:val="28"/>
          <w:lang w:val="ru-RU"/>
        </w:rPr>
        <w:t>3184</w:t>
      </w:r>
      <w:r w:rsidRPr="00D7673F">
        <w:rPr>
          <w:sz w:val="28"/>
        </w:rPr>
        <w:t xml:space="preserve"> грн. У середньому на одну особу, яка входить до складу домогосподарства (далі</w:t>
      </w:r>
      <w:r w:rsidR="00012078" w:rsidRPr="00D7673F">
        <w:rPr>
          <w:sz w:val="28"/>
          <w:lang w:val="ru-RU"/>
        </w:rPr>
        <w:t xml:space="preserve"> </w:t>
      </w:r>
      <w:r w:rsidR="00012078" w:rsidRPr="00D7673F">
        <w:rPr>
          <w:sz w:val="28"/>
        </w:rPr>
        <w:t>–</w:t>
      </w:r>
      <w:r w:rsidRPr="00D7673F">
        <w:rPr>
          <w:sz w:val="28"/>
        </w:rPr>
        <w:t xml:space="preserve"> особа), еквівалентні</w:t>
      </w:r>
      <w:r w:rsidRPr="00D7673F">
        <w:rPr>
          <w:rStyle w:val="a8"/>
          <w:sz w:val="22"/>
          <w:szCs w:val="22"/>
        </w:rPr>
        <w:footnoteReference w:id="2"/>
      </w:r>
      <w:r w:rsidRPr="00D7673F">
        <w:rPr>
          <w:sz w:val="28"/>
        </w:rPr>
        <w:t xml:space="preserve"> загальні доходи (далі – доходи) становили </w:t>
      </w:r>
      <w:r w:rsidR="00570048" w:rsidRPr="00D7673F">
        <w:rPr>
          <w:sz w:val="28"/>
          <w:lang w:val="ru-RU"/>
        </w:rPr>
        <w:t>6785</w:t>
      </w:r>
      <w:r w:rsidRPr="00D7673F">
        <w:rPr>
          <w:sz w:val="28"/>
          <w:lang w:val="ru-RU"/>
        </w:rPr>
        <w:t xml:space="preserve"> </w:t>
      </w:r>
      <w:r w:rsidRPr="00D7673F">
        <w:rPr>
          <w:sz w:val="28"/>
        </w:rPr>
        <w:t xml:space="preserve">грн у місяць, у міських домогосподарствах – </w:t>
      </w:r>
      <w:r w:rsidR="00186DF1" w:rsidRPr="00D7673F">
        <w:rPr>
          <w:sz w:val="28"/>
          <w:lang w:val="ru-RU"/>
        </w:rPr>
        <w:t>7128</w:t>
      </w:r>
      <w:r w:rsidRPr="00D7673F">
        <w:rPr>
          <w:sz w:val="28"/>
        </w:rPr>
        <w:t xml:space="preserve"> грн, у сільських – </w:t>
      </w:r>
      <w:r w:rsidR="00186DF1" w:rsidRPr="00D7673F">
        <w:rPr>
          <w:sz w:val="28"/>
          <w:lang w:val="ru-RU"/>
        </w:rPr>
        <w:t>607</w:t>
      </w:r>
      <w:r w:rsidRPr="00D7673F">
        <w:rPr>
          <w:sz w:val="28"/>
          <w:lang w:val="ru-RU"/>
        </w:rPr>
        <w:t>6</w:t>
      </w:r>
      <w:r w:rsidRPr="00D7673F">
        <w:rPr>
          <w:sz w:val="28"/>
        </w:rPr>
        <w:t xml:space="preserve"> грн. Рівень середньомісячних доходів однієї особи у</w:t>
      </w:r>
      <w:r w:rsidR="00DE7F3B" w:rsidRPr="00D7673F">
        <w:rPr>
          <w:sz w:val="28"/>
          <w:lang w:val="ru-RU"/>
        </w:rPr>
        <w:t xml:space="preserve"> </w:t>
      </w:r>
      <w:r w:rsidR="00912D9C" w:rsidRPr="00D7673F">
        <w:rPr>
          <w:sz w:val="28"/>
          <w:lang w:val="ru-RU"/>
        </w:rPr>
        <w:t>3</w:t>
      </w:r>
      <w:r w:rsidRPr="00D7673F">
        <w:rPr>
          <w:sz w:val="28"/>
          <w:lang w:val="ru-RU"/>
        </w:rPr>
        <w:t xml:space="preserve"> </w:t>
      </w:r>
      <w:r w:rsidRPr="00D7673F">
        <w:rPr>
          <w:sz w:val="28"/>
        </w:rPr>
        <w:t>раз</w:t>
      </w:r>
      <w:r w:rsidR="00912D9C" w:rsidRPr="00D7673F">
        <w:rPr>
          <w:sz w:val="28"/>
          <w:lang w:val="ru-RU"/>
        </w:rPr>
        <w:t>и</w:t>
      </w:r>
      <w:r w:rsidRPr="00D7673F">
        <w:rPr>
          <w:sz w:val="28"/>
        </w:rPr>
        <w:t xml:space="preserve"> перевищував рівень законодавчо встановленого на цей період прожиткового мінімуму (</w:t>
      </w:r>
      <w:r w:rsidRPr="00D7673F">
        <w:rPr>
          <w:sz w:val="28"/>
          <w:lang w:val="ru-RU"/>
        </w:rPr>
        <w:t>2</w:t>
      </w:r>
      <w:r w:rsidR="00F15DD1" w:rsidRPr="00D7673F">
        <w:rPr>
          <w:sz w:val="28"/>
          <w:lang w:val="ru-RU"/>
        </w:rPr>
        <w:t>250</w:t>
      </w:r>
      <w:r w:rsidRPr="00D7673F">
        <w:rPr>
          <w:sz w:val="28"/>
        </w:rPr>
        <w:t xml:space="preserve"> грн). Середньодушові доходи домогосподарств у 20</w:t>
      </w:r>
      <w:r w:rsidRPr="00D7673F">
        <w:rPr>
          <w:sz w:val="28"/>
          <w:lang w:val="ru-RU"/>
        </w:rPr>
        <w:t>2</w:t>
      </w:r>
      <w:r w:rsidR="002F3A33" w:rsidRPr="00D7673F">
        <w:rPr>
          <w:sz w:val="28"/>
          <w:lang w:val="ru-RU"/>
        </w:rPr>
        <w:t>1</w:t>
      </w:r>
      <w:r w:rsidRPr="00D7673F">
        <w:rPr>
          <w:sz w:val="28"/>
        </w:rPr>
        <w:t>р. порівняно з попереднім роком зростали</w:t>
      </w:r>
      <w:r w:rsidR="008648C9" w:rsidRPr="00D7673F">
        <w:rPr>
          <w:sz w:val="28"/>
        </w:rPr>
        <w:t xml:space="preserve"> </w:t>
      </w:r>
      <w:r w:rsidRPr="00D7673F">
        <w:rPr>
          <w:sz w:val="28"/>
        </w:rPr>
        <w:t>більшими темпами, ніж індекс споживчих цін за цей період: відповідно</w:t>
      </w:r>
      <w:r w:rsidR="008648C9" w:rsidRPr="00D7673F">
        <w:rPr>
          <w:sz w:val="28"/>
        </w:rPr>
        <w:t xml:space="preserve"> </w:t>
      </w:r>
      <w:r w:rsidR="00DB1962" w:rsidRPr="00D7673F">
        <w:rPr>
          <w:sz w:val="28"/>
        </w:rPr>
        <w:t>1</w:t>
      </w:r>
      <w:r w:rsidR="00F540B1" w:rsidRPr="00D7673F">
        <w:rPr>
          <w:sz w:val="28"/>
          <w:lang w:val="ru-RU"/>
        </w:rPr>
        <w:t>16</w:t>
      </w:r>
      <w:r w:rsidR="00475387" w:rsidRPr="00D7673F">
        <w:rPr>
          <w:sz w:val="28"/>
          <w:lang w:val="ru-RU"/>
        </w:rPr>
        <w:t>,</w:t>
      </w:r>
      <w:r w:rsidR="00F540B1" w:rsidRPr="00D7673F">
        <w:rPr>
          <w:sz w:val="28"/>
          <w:lang w:val="ru-RU"/>
        </w:rPr>
        <w:t>3</w:t>
      </w:r>
      <w:r w:rsidR="008648C9" w:rsidRPr="00D7673F">
        <w:rPr>
          <w:sz w:val="28"/>
        </w:rPr>
        <w:t>%</w:t>
      </w:r>
      <w:r w:rsidRPr="00D7673F">
        <w:rPr>
          <w:sz w:val="28"/>
        </w:rPr>
        <w:t xml:space="preserve"> проти </w:t>
      </w:r>
      <w:r w:rsidRPr="00D7673F">
        <w:rPr>
          <w:sz w:val="28"/>
          <w:lang w:val="ru-RU"/>
        </w:rPr>
        <w:t>10</w:t>
      </w:r>
      <w:r w:rsidR="00F540B1" w:rsidRPr="00D7673F">
        <w:rPr>
          <w:sz w:val="28"/>
          <w:lang w:val="ru-RU"/>
        </w:rPr>
        <w:t>9</w:t>
      </w:r>
      <w:r w:rsidRPr="00D7673F">
        <w:rPr>
          <w:sz w:val="28"/>
          <w:lang w:val="ru-RU"/>
        </w:rPr>
        <w:t>,</w:t>
      </w:r>
      <w:r w:rsidR="00F540B1" w:rsidRPr="00D7673F">
        <w:rPr>
          <w:sz w:val="28"/>
          <w:lang w:val="ru-RU"/>
        </w:rPr>
        <w:t>4</w:t>
      </w:r>
      <w:r w:rsidRPr="00D7673F">
        <w:rPr>
          <w:sz w:val="28"/>
        </w:rPr>
        <w:t>%.</w:t>
      </w:r>
      <w:r w:rsidRPr="00D7673F">
        <w:rPr>
          <w:sz w:val="28"/>
          <w:lang w:val="ru-RU"/>
        </w:rPr>
        <w:t xml:space="preserve"> </w:t>
      </w:r>
    </w:p>
    <w:p w14:paraId="7F38DC38" w14:textId="6E6F2048" w:rsidR="00157A93" w:rsidRPr="00D7673F" w:rsidRDefault="006D6415" w:rsidP="006D6415">
      <w:pPr>
        <w:pStyle w:val="a4"/>
        <w:ind w:firstLine="567"/>
        <w:jc w:val="both"/>
        <w:rPr>
          <w:sz w:val="28"/>
        </w:rPr>
      </w:pPr>
      <w:r w:rsidRPr="00D7673F">
        <w:rPr>
          <w:b/>
          <w:sz w:val="28"/>
        </w:rPr>
        <w:t>Нерівність розподілу</w:t>
      </w:r>
      <w:r w:rsidRPr="00D7673F">
        <w:rPr>
          <w:sz w:val="28"/>
        </w:rPr>
        <w:t xml:space="preserve"> загальних доходів характеризують крива Лоренца </w:t>
      </w:r>
      <w:r w:rsidR="006E6023">
        <w:rPr>
          <w:sz w:val="28"/>
        </w:rPr>
        <w:br/>
      </w:r>
      <w:r w:rsidRPr="00D7673F">
        <w:rPr>
          <w:sz w:val="28"/>
        </w:rPr>
        <w:t xml:space="preserve">(додаток </w:t>
      </w:r>
      <w:r w:rsidR="002A6897" w:rsidRPr="00D7673F">
        <w:rPr>
          <w:sz w:val="28"/>
          <w:lang w:val="ru-RU"/>
        </w:rPr>
        <w:t>1</w:t>
      </w:r>
      <w:r w:rsidRPr="00D7673F">
        <w:rPr>
          <w:sz w:val="28"/>
        </w:rPr>
        <w:t>) та коефіцієнт концентрації (індекс Джині), який приймає значення від 0 (рівномірний розподіл доходів серед усього населення) до 1 (увесь дохід належить одній особі). Індекс Джині по загальних доходах населення знизився з 0,24</w:t>
      </w:r>
      <w:r w:rsidR="00032F3A" w:rsidRPr="00D7673F">
        <w:rPr>
          <w:sz w:val="28"/>
          <w:lang w:val="ru-RU"/>
        </w:rPr>
        <w:t>7</w:t>
      </w:r>
      <w:r w:rsidRPr="00D7673F">
        <w:rPr>
          <w:sz w:val="28"/>
        </w:rPr>
        <w:t xml:space="preserve"> у 20</w:t>
      </w:r>
      <w:r w:rsidR="00032F3A" w:rsidRPr="00D7673F">
        <w:rPr>
          <w:sz w:val="28"/>
          <w:lang w:val="ru-RU"/>
        </w:rPr>
        <w:t>20</w:t>
      </w:r>
      <w:r w:rsidRPr="00D7673F">
        <w:rPr>
          <w:sz w:val="28"/>
        </w:rPr>
        <w:t>р. до 0,24</w:t>
      </w:r>
      <w:r w:rsidR="00CF7DAE" w:rsidRPr="00D7673F">
        <w:rPr>
          <w:sz w:val="28"/>
          <w:lang w:val="ru-RU"/>
        </w:rPr>
        <w:t>4</w:t>
      </w:r>
      <w:r w:rsidRPr="00D7673F">
        <w:rPr>
          <w:sz w:val="28"/>
        </w:rPr>
        <w:t xml:space="preserve"> у 202</w:t>
      </w:r>
      <w:r w:rsidR="00032F3A" w:rsidRPr="00D7673F">
        <w:rPr>
          <w:sz w:val="28"/>
          <w:lang w:val="ru-RU"/>
        </w:rPr>
        <w:t>1</w:t>
      </w:r>
      <w:r w:rsidRPr="00D7673F">
        <w:rPr>
          <w:sz w:val="28"/>
        </w:rPr>
        <w:t xml:space="preserve">р. </w:t>
      </w:r>
    </w:p>
    <w:p w14:paraId="2D3BFC41" w14:textId="18319B41" w:rsidR="00FF41C7" w:rsidRPr="00D7673F" w:rsidRDefault="00FF41C7" w:rsidP="006D6415">
      <w:pPr>
        <w:pStyle w:val="a4"/>
        <w:ind w:firstLine="567"/>
        <w:jc w:val="both"/>
        <w:rPr>
          <w:sz w:val="28"/>
        </w:rPr>
      </w:pPr>
      <w:r w:rsidRPr="00D7673F">
        <w:rPr>
          <w:sz w:val="28"/>
        </w:rPr>
        <w:t>Співвідношення мінімального рівня загальних доходів серед найбільш забезпечених 10% населення до максимального рівня серед найменш забезпечених 10% населення збільшилося по Україні (з 2,9 до 3 разів) та серед мешканців сіл (з 2,7 до 2,9 разів), а серед міських жителів не змінилося (2,9 разів).</w:t>
      </w:r>
    </w:p>
    <w:p w14:paraId="2023645E" w14:textId="5862BFD6" w:rsidR="006D6415" w:rsidRPr="00D7673F" w:rsidRDefault="006D6415" w:rsidP="006D6415">
      <w:pPr>
        <w:pStyle w:val="a4"/>
        <w:ind w:firstLine="567"/>
        <w:jc w:val="both"/>
        <w:rPr>
          <w:sz w:val="28"/>
        </w:rPr>
      </w:pPr>
      <w:r w:rsidRPr="00D7673F">
        <w:rPr>
          <w:sz w:val="28"/>
        </w:rPr>
        <w:t xml:space="preserve"> Найбільш заможні 20% населення у 202</w:t>
      </w:r>
      <w:r w:rsidR="00B563F4" w:rsidRPr="00D7673F">
        <w:rPr>
          <w:sz w:val="28"/>
        </w:rPr>
        <w:t>1</w:t>
      </w:r>
      <w:r w:rsidRPr="00D7673F">
        <w:rPr>
          <w:sz w:val="28"/>
        </w:rPr>
        <w:t>р. отримували 3</w:t>
      </w:r>
      <w:r w:rsidR="00B563F4" w:rsidRPr="00D7673F">
        <w:rPr>
          <w:sz w:val="28"/>
        </w:rPr>
        <w:t>5</w:t>
      </w:r>
      <w:r w:rsidRPr="00D7673F">
        <w:rPr>
          <w:sz w:val="28"/>
        </w:rPr>
        <w:t xml:space="preserve">% усіх загальних доходів </w:t>
      </w:r>
      <w:r w:rsidR="00B563F4" w:rsidRPr="00D7673F">
        <w:rPr>
          <w:sz w:val="28"/>
        </w:rPr>
        <w:t>(</w:t>
      </w:r>
      <w:r w:rsidRPr="00D7673F">
        <w:rPr>
          <w:sz w:val="28"/>
        </w:rPr>
        <w:t>у попередньому періоді</w:t>
      </w:r>
      <w:r w:rsidR="00B563F4" w:rsidRPr="00D7673F">
        <w:rPr>
          <w:sz w:val="28"/>
        </w:rPr>
        <w:t xml:space="preserve"> – 36%)</w:t>
      </w:r>
      <w:r w:rsidR="00AC17BD" w:rsidRPr="00D7673F">
        <w:rPr>
          <w:sz w:val="28"/>
        </w:rPr>
        <w:t>.</w:t>
      </w:r>
      <w:r w:rsidRPr="00D7673F">
        <w:rPr>
          <w:sz w:val="28"/>
        </w:rPr>
        <w:t xml:space="preserve"> </w:t>
      </w:r>
    </w:p>
    <w:p w14:paraId="08CE353B" w14:textId="485EF589" w:rsidR="006D6415" w:rsidRPr="00D7673F" w:rsidRDefault="006D6415" w:rsidP="006D6415">
      <w:pPr>
        <w:pStyle w:val="a4"/>
        <w:ind w:firstLine="567"/>
        <w:jc w:val="both"/>
        <w:rPr>
          <w:sz w:val="28"/>
        </w:rPr>
      </w:pPr>
      <w:r w:rsidRPr="00D7673F">
        <w:rPr>
          <w:sz w:val="28"/>
        </w:rPr>
        <w:t>Співвідношення загальних доходів найбільш та найменш забезпечених 10% населення залишилося на рівні 20</w:t>
      </w:r>
      <w:r w:rsidR="00CA709D" w:rsidRPr="00D7673F">
        <w:rPr>
          <w:sz w:val="28"/>
        </w:rPr>
        <w:t>20</w:t>
      </w:r>
      <w:r w:rsidRPr="00D7673F">
        <w:rPr>
          <w:sz w:val="28"/>
        </w:rPr>
        <w:t xml:space="preserve">р. та становило 4,9 раза (додаток </w:t>
      </w:r>
      <w:r w:rsidR="00475387" w:rsidRPr="00D7673F">
        <w:rPr>
          <w:sz w:val="28"/>
          <w:lang w:val="ru-RU"/>
        </w:rPr>
        <w:t>2</w:t>
      </w:r>
      <w:r w:rsidRPr="00D7673F">
        <w:rPr>
          <w:sz w:val="28"/>
        </w:rPr>
        <w:t xml:space="preserve">). </w:t>
      </w:r>
    </w:p>
    <w:p w14:paraId="497F0707" w14:textId="5E1E1FAA" w:rsidR="00853DC4" w:rsidRDefault="00853DC4" w:rsidP="00853DC4">
      <w:pPr>
        <w:pStyle w:val="a4"/>
        <w:ind w:firstLine="567"/>
        <w:jc w:val="both"/>
        <w:rPr>
          <w:sz w:val="28"/>
        </w:rPr>
      </w:pPr>
      <w:r w:rsidRPr="00D7673F">
        <w:rPr>
          <w:sz w:val="28"/>
        </w:rPr>
        <w:t>Частка загальних доходів 40% найменш забезпечених становила, як і у 2020р., чверть усіх загальних доходів населення. Співвідношення темпів зростання середньодушових еквівалентних загальних доходів 40% найменш забезпечених т</w:t>
      </w:r>
      <w:r w:rsidR="0012108C" w:rsidRPr="00D7673F">
        <w:rPr>
          <w:sz w:val="28"/>
          <w:lang w:val="ru-RU"/>
        </w:rPr>
        <w:t>а</w:t>
      </w:r>
      <w:r w:rsidRPr="00D7673F">
        <w:rPr>
          <w:sz w:val="28"/>
        </w:rPr>
        <w:t xml:space="preserve"> всього населення становило у 2021р. 0,99 раза (у 2020 р. – 1,02 раза), а частка населення із середньодушовими еквівалентними загальними доходами у місяць нижчими 50% медіанного рівня загальних доходів (3027 грн) – 4,8% (2555 грн та 4% відповідно).</w:t>
      </w:r>
    </w:p>
    <w:p w14:paraId="44B1A761" w14:textId="77777777" w:rsidR="006E6023" w:rsidRPr="00853DC4" w:rsidRDefault="006E6023" w:rsidP="00853DC4">
      <w:pPr>
        <w:pStyle w:val="a4"/>
        <w:ind w:firstLine="567"/>
        <w:jc w:val="both"/>
        <w:rPr>
          <w:b/>
          <w:sz w:val="28"/>
        </w:rPr>
      </w:pPr>
    </w:p>
    <w:p w14:paraId="45AF07AE" w14:textId="5D3D39EE" w:rsidR="00355CD6" w:rsidRPr="00D7673F" w:rsidRDefault="00355CD6" w:rsidP="006D6415">
      <w:pPr>
        <w:pStyle w:val="a4"/>
        <w:ind w:firstLine="567"/>
        <w:jc w:val="both"/>
        <w:rPr>
          <w:sz w:val="28"/>
        </w:rPr>
      </w:pPr>
      <w:r w:rsidRPr="00D7673F">
        <w:rPr>
          <w:sz w:val="28"/>
        </w:rPr>
        <w:lastRenderedPageBreak/>
        <w:t xml:space="preserve">Порівняно з 2020р. </w:t>
      </w:r>
      <w:r w:rsidR="007821B9" w:rsidRPr="00D7673F">
        <w:rPr>
          <w:sz w:val="28"/>
        </w:rPr>
        <w:t>дещо змінилася</w:t>
      </w:r>
      <w:r w:rsidRPr="00D7673F">
        <w:rPr>
          <w:sz w:val="28"/>
        </w:rPr>
        <w:t xml:space="preserve"> диференціація рівня добробуту населення, розрахована з використанням критерію грошових доходів</w:t>
      </w:r>
      <w:r w:rsidR="007821B9" w:rsidRPr="00D7673F">
        <w:rPr>
          <w:sz w:val="28"/>
        </w:rPr>
        <w:t>, а саме,</w:t>
      </w:r>
      <w:r w:rsidRPr="00D7673F">
        <w:rPr>
          <w:sz w:val="28"/>
        </w:rPr>
        <w:t xml:space="preserve"> Індекс Джині у 2021р. становив 0,257 проти 0,260 у 2020р. Мінімальний рівень грошових доходів серед найбільш забезпечених 10% населення перевищував максимальний серед найменш забезпечених 10% населення у 3,1 раза</w:t>
      </w:r>
      <w:r w:rsidR="007821B9" w:rsidRPr="00D7673F">
        <w:rPr>
          <w:sz w:val="28"/>
        </w:rPr>
        <w:t>, а н</w:t>
      </w:r>
      <w:r w:rsidRPr="00D7673F">
        <w:rPr>
          <w:sz w:val="28"/>
        </w:rPr>
        <w:t>айбільш забезпечені 10% населення отримали у 5,3 раза більше грошових доходів, ніж найменш забезпечені 10% населення, як і</w:t>
      </w:r>
      <w:r w:rsidR="006D7A84" w:rsidRPr="00D7673F">
        <w:rPr>
          <w:sz w:val="28"/>
        </w:rPr>
        <w:t xml:space="preserve"> в</w:t>
      </w:r>
      <w:r w:rsidRPr="00D7673F">
        <w:rPr>
          <w:sz w:val="28"/>
        </w:rPr>
        <w:t xml:space="preserve"> </w:t>
      </w:r>
      <w:r w:rsidR="007821B9" w:rsidRPr="00D7673F">
        <w:rPr>
          <w:sz w:val="28"/>
        </w:rPr>
        <w:t>попередньому періоді</w:t>
      </w:r>
      <w:r w:rsidRPr="00D7673F">
        <w:rPr>
          <w:sz w:val="28"/>
        </w:rPr>
        <w:t>.</w:t>
      </w:r>
    </w:p>
    <w:p w14:paraId="031F7F9A" w14:textId="41A6E547" w:rsidR="006C7B11" w:rsidRPr="00D7673F" w:rsidRDefault="006C7B11" w:rsidP="006C7B11">
      <w:pPr>
        <w:pStyle w:val="a4"/>
        <w:ind w:firstLine="567"/>
        <w:jc w:val="both"/>
        <w:rPr>
          <w:sz w:val="28"/>
        </w:rPr>
      </w:pPr>
      <w:r w:rsidRPr="00D7673F">
        <w:rPr>
          <w:sz w:val="28"/>
        </w:rPr>
        <w:t>З метою аналізу якості життя населення Держстат у жовтні 20</w:t>
      </w:r>
      <w:r w:rsidR="007F164B" w:rsidRPr="00D7673F">
        <w:rPr>
          <w:sz w:val="28"/>
        </w:rPr>
        <w:t>2</w:t>
      </w:r>
      <w:r w:rsidRPr="00D7673F">
        <w:rPr>
          <w:sz w:val="28"/>
        </w:rPr>
        <w:t>1р. провів модульне опитування домогосподарств, які брали участь у вибірковому обстеженні умов життя, щодо їхніх доходів та споживчих можливостей</w:t>
      </w:r>
      <w:r w:rsidR="00062CE2" w:rsidRPr="00D7673F">
        <w:rPr>
          <w:rStyle w:val="a8"/>
          <w:sz w:val="28"/>
        </w:rPr>
        <w:footnoteReference w:id="3"/>
      </w:r>
      <w:r w:rsidRPr="00D7673F">
        <w:rPr>
          <w:sz w:val="28"/>
        </w:rPr>
        <w:t>. Програма дослідження передбачала вивчення сприйняття населенням ознак бідності та позбавлення (депривації) у сфері їхніх споживчих можливостей за наявних у суспільстві стандартів, ступеня актуальності для населення базових ознак бідності та позбавлення, а також аналіз поширення серед домогосподарств окремих проявів позбавлення в частині можливостей задоволення не тільки мінімально необхідних фізіологічних потреб, а й потреб, пов’язаних із розвитком особистості та забезпеченням належного рівня комфортності існування.</w:t>
      </w:r>
    </w:p>
    <w:p w14:paraId="6A6EDF8E" w14:textId="77777777" w:rsidR="006C7B11" w:rsidRPr="00D7673F" w:rsidRDefault="006C7B11" w:rsidP="00E54946">
      <w:pPr>
        <w:pStyle w:val="a4"/>
        <w:ind w:firstLine="567"/>
        <w:jc w:val="both"/>
        <w:rPr>
          <w:sz w:val="20"/>
        </w:rPr>
      </w:pPr>
      <w:r w:rsidRPr="00D7673F">
        <w:rPr>
          <w:b/>
          <w:sz w:val="28"/>
        </w:rPr>
        <w:t>Сприйняття населенням ознак позбавлення (депривації).</w:t>
      </w:r>
    </w:p>
    <w:p w14:paraId="3A8335A9" w14:textId="0C4A0F74" w:rsidR="006C7B11" w:rsidRPr="00D7673F" w:rsidRDefault="006C7B11" w:rsidP="006C7B11">
      <w:pPr>
        <w:pStyle w:val="a4"/>
        <w:ind w:firstLine="567"/>
        <w:jc w:val="both"/>
        <w:rPr>
          <w:sz w:val="28"/>
        </w:rPr>
      </w:pPr>
      <w:r w:rsidRPr="00D7673F">
        <w:rPr>
          <w:sz w:val="28"/>
        </w:rPr>
        <w:t xml:space="preserve">Опитування передбачало вивчення думки респондентів щодо 33 ознак бідності та позбавлення (додаток </w:t>
      </w:r>
      <w:r w:rsidR="00884B1E" w:rsidRPr="00D7673F">
        <w:rPr>
          <w:sz w:val="28"/>
          <w:lang w:val="ru-RU"/>
        </w:rPr>
        <w:t>3</w:t>
      </w:r>
      <w:r w:rsidRPr="00D7673F">
        <w:rPr>
          <w:sz w:val="28"/>
        </w:rPr>
        <w:t>), що висвітлювали такі напрями:</w:t>
      </w:r>
    </w:p>
    <w:p w14:paraId="56AE7487" w14:textId="77777777" w:rsidR="006C7B11" w:rsidRPr="00D7673F" w:rsidRDefault="006C7B11" w:rsidP="006C7B11">
      <w:pPr>
        <w:pStyle w:val="a4"/>
        <w:ind w:firstLine="567"/>
        <w:jc w:val="both"/>
        <w:rPr>
          <w:sz w:val="28"/>
        </w:rPr>
      </w:pPr>
      <w:r w:rsidRPr="00D7673F">
        <w:rPr>
          <w:sz w:val="28"/>
        </w:rPr>
        <w:t>•</w:t>
      </w:r>
      <w:r w:rsidRPr="00D7673F">
        <w:rPr>
          <w:sz w:val="28"/>
        </w:rPr>
        <w:tab/>
        <w:t xml:space="preserve"> економічна депривація:</w:t>
      </w:r>
    </w:p>
    <w:p w14:paraId="7DB93A9A" w14:textId="77777777" w:rsidR="006C7B11" w:rsidRPr="00D7673F" w:rsidRDefault="006C7B11" w:rsidP="006C7B11">
      <w:pPr>
        <w:pStyle w:val="a4"/>
        <w:ind w:firstLine="567"/>
        <w:jc w:val="both"/>
        <w:rPr>
          <w:sz w:val="28"/>
        </w:rPr>
      </w:pPr>
      <w:r w:rsidRPr="00D7673F">
        <w:rPr>
          <w:sz w:val="28"/>
        </w:rPr>
        <w:t>-</w:t>
      </w:r>
      <w:r w:rsidRPr="00D7673F">
        <w:rPr>
          <w:sz w:val="28"/>
        </w:rPr>
        <w:tab/>
        <w:t>за харчуванням (недостатність коштів для забезпечення певної якості харчування);</w:t>
      </w:r>
    </w:p>
    <w:p w14:paraId="460A24CD" w14:textId="77777777" w:rsidR="006C7B11" w:rsidRPr="00D7673F" w:rsidRDefault="006C7B11" w:rsidP="006C7B11">
      <w:pPr>
        <w:pStyle w:val="a4"/>
        <w:ind w:firstLine="567"/>
        <w:jc w:val="both"/>
        <w:rPr>
          <w:sz w:val="28"/>
        </w:rPr>
      </w:pPr>
      <w:r w:rsidRPr="00D7673F">
        <w:rPr>
          <w:sz w:val="28"/>
        </w:rPr>
        <w:t>-</w:t>
      </w:r>
      <w:r w:rsidRPr="00D7673F">
        <w:rPr>
          <w:sz w:val="28"/>
        </w:rPr>
        <w:tab/>
        <w:t xml:space="preserve">за непродовольчими товарами (недостатність коштів для придбання необхідних недорогих товарів та відсутність їх певних видів); </w:t>
      </w:r>
    </w:p>
    <w:p w14:paraId="0E3293E2" w14:textId="77777777" w:rsidR="006C7B11" w:rsidRPr="00D7673F" w:rsidRDefault="006C7B11" w:rsidP="006C7B11">
      <w:pPr>
        <w:pStyle w:val="a4"/>
        <w:ind w:firstLine="567"/>
        <w:jc w:val="both"/>
        <w:rPr>
          <w:sz w:val="28"/>
        </w:rPr>
      </w:pPr>
      <w:r w:rsidRPr="00D7673F">
        <w:rPr>
          <w:sz w:val="28"/>
        </w:rPr>
        <w:t>-</w:t>
      </w:r>
      <w:r w:rsidRPr="00D7673F">
        <w:rPr>
          <w:sz w:val="28"/>
        </w:rPr>
        <w:tab/>
        <w:t xml:space="preserve">за житловими умовами (відсутність нормальних житлових умов, недостатність коштів для покращення житлових умов);  </w:t>
      </w:r>
    </w:p>
    <w:p w14:paraId="455FFC8C" w14:textId="77777777" w:rsidR="006C7B11" w:rsidRPr="00D7673F" w:rsidRDefault="006C7B11" w:rsidP="006C7B11">
      <w:pPr>
        <w:pStyle w:val="a4"/>
        <w:ind w:firstLine="567"/>
        <w:jc w:val="both"/>
        <w:rPr>
          <w:sz w:val="28"/>
        </w:rPr>
      </w:pPr>
      <w:r w:rsidRPr="00D7673F">
        <w:rPr>
          <w:sz w:val="28"/>
        </w:rPr>
        <w:t>-</w:t>
      </w:r>
      <w:r w:rsidRPr="00D7673F">
        <w:rPr>
          <w:sz w:val="28"/>
        </w:rPr>
        <w:tab/>
        <w:t>у сферах охорони здоров’я та освіти (недостатність коштів для отримання необхідних недорогих товарів і послуг);</w:t>
      </w:r>
    </w:p>
    <w:p w14:paraId="0E687096" w14:textId="77777777" w:rsidR="006C7B11" w:rsidRPr="00D7673F" w:rsidRDefault="006C7B11" w:rsidP="006C7B11">
      <w:pPr>
        <w:pStyle w:val="a4"/>
        <w:ind w:firstLine="567"/>
        <w:jc w:val="both"/>
        <w:rPr>
          <w:sz w:val="28"/>
        </w:rPr>
      </w:pPr>
      <w:r w:rsidRPr="00D7673F">
        <w:rPr>
          <w:sz w:val="28"/>
        </w:rPr>
        <w:t>-</w:t>
      </w:r>
      <w:r w:rsidRPr="00D7673F">
        <w:rPr>
          <w:sz w:val="28"/>
        </w:rPr>
        <w:tab/>
        <w:t>у сфері відпочинку та дозвілля (недостатність коштів для тижневої сімейної відпустки не вдома один раз на рік);</w:t>
      </w:r>
    </w:p>
    <w:p w14:paraId="57B3E948" w14:textId="77777777" w:rsidR="006C7B11" w:rsidRPr="00D7673F" w:rsidRDefault="006C7B11" w:rsidP="006C7B11">
      <w:pPr>
        <w:pStyle w:val="a4"/>
        <w:ind w:firstLine="567"/>
        <w:jc w:val="both"/>
        <w:rPr>
          <w:sz w:val="28"/>
        </w:rPr>
      </w:pPr>
      <w:r w:rsidRPr="00D7673F">
        <w:rPr>
          <w:sz w:val="28"/>
        </w:rPr>
        <w:t>-</w:t>
      </w:r>
      <w:r w:rsidRPr="00D7673F">
        <w:rPr>
          <w:sz w:val="28"/>
        </w:rPr>
        <w:tab/>
        <w:t>у сфері фінансових можливостей домогосподарства (недостатність коштів щодо задоволення неочікуваних необхідних витрат);</w:t>
      </w:r>
    </w:p>
    <w:p w14:paraId="2C09513D" w14:textId="77777777" w:rsidR="006C7B11" w:rsidRPr="00D7673F" w:rsidRDefault="006C7B11" w:rsidP="006C7B11">
      <w:pPr>
        <w:pStyle w:val="a4"/>
        <w:ind w:firstLine="567"/>
        <w:jc w:val="both"/>
        <w:rPr>
          <w:sz w:val="28"/>
        </w:rPr>
      </w:pPr>
      <w:r w:rsidRPr="00D7673F">
        <w:rPr>
          <w:sz w:val="28"/>
        </w:rPr>
        <w:t>•</w:t>
      </w:r>
      <w:r w:rsidRPr="00D7673F">
        <w:rPr>
          <w:sz w:val="28"/>
        </w:rPr>
        <w:tab/>
        <w:t xml:space="preserve"> характеристика фізичного та соціального середовища місцевості проживання домогосподарства (шум, забруднення, злочинність тощо);</w:t>
      </w:r>
    </w:p>
    <w:p w14:paraId="7C7E6214" w14:textId="77777777" w:rsidR="006C7B11" w:rsidRPr="00D7673F" w:rsidRDefault="006C7B11" w:rsidP="006C7B11">
      <w:pPr>
        <w:pStyle w:val="a4"/>
        <w:ind w:firstLine="567"/>
        <w:jc w:val="both"/>
        <w:rPr>
          <w:sz w:val="28"/>
        </w:rPr>
      </w:pPr>
      <w:r w:rsidRPr="00D7673F">
        <w:rPr>
          <w:sz w:val="28"/>
        </w:rPr>
        <w:t>•</w:t>
      </w:r>
      <w:r w:rsidRPr="00D7673F">
        <w:rPr>
          <w:sz w:val="28"/>
        </w:rPr>
        <w:tab/>
        <w:t xml:space="preserve"> розвиток інфраструктури як ознаки географічної доступності послуг і бар’єрів негеографічного характеру, які визначають позбавлення за доступом. </w:t>
      </w:r>
    </w:p>
    <w:p w14:paraId="1785A010" w14:textId="77777777" w:rsidR="006C7B11" w:rsidRPr="00D7673F" w:rsidRDefault="006C7B11" w:rsidP="006C7B11">
      <w:pPr>
        <w:pStyle w:val="a4"/>
        <w:ind w:firstLine="567"/>
        <w:jc w:val="both"/>
        <w:rPr>
          <w:sz w:val="28"/>
        </w:rPr>
      </w:pPr>
      <w:r w:rsidRPr="00D7673F">
        <w:rPr>
          <w:sz w:val="28"/>
        </w:rPr>
        <w:t>Підсумки опитування засвідчили актуальність кожної складової визначеного переліку позбавлень як пріоритетів формування суспільної думки щодо бідності, оскільки майже всі респонденти сприймали ці ознаки як прояви бідності та позбавлення.</w:t>
      </w:r>
    </w:p>
    <w:p w14:paraId="7C5A56F5" w14:textId="0572CAFB" w:rsidR="006C7B11" w:rsidRPr="00D7673F" w:rsidRDefault="006C7B11" w:rsidP="006C7B11">
      <w:pPr>
        <w:ind w:firstLine="567"/>
        <w:jc w:val="both"/>
        <w:rPr>
          <w:sz w:val="28"/>
          <w:szCs w:val="28"/>
        </w:rPr>
      </w:pPr>
      <w:r w:rsidRPr="00D7673F">
        <w:rPr>
          <w:sz w:val="28"/>
          <w:szCs w:val="28"/>
        </w:rPr>
        <w:lastRenderedPageBreak/>
        <w:t>Для визначення межі бідності за ознаками депривації на підставі списку 18 ознак депривацій</w:t>
      </w:r>
      <w:r w:rsidRPr="00D7673F">
        <w:rPr>
          <w:sz w:val="28"/>
          <w:szCs w:val="28"/>
          <w:vertAlign w:val="superscript"/>
        </w:rPr>
        <w:footnoteReference w:id="4"/>
      </w:r>
      <w:r w:rsidRPr="00D7673F">
        <w:rPr>
          <w:sz w:val="28"/>
          <w:szCs w:val="28"/>
        </w:rPr>
        <w:t>, які були визначені у 2007р., був розрахований розподіл домогосподарств за ступенем концентрації ознак позбавлення в одному домогосподарстві, а також визначений</w:t>
      </w:r>
      <w:r w:rsidRPr="00D7673F" w:rsidDel="00F1163B">
        <w:rPr>
          <w:sz w:val="28"/>
          <w:szCs w:val="28"/>
        </w:rPr>
        <w:t xml:space="preserve"> </w:t>
      </w:r>
      <w:r w:rsidRPr="00D7673F">
        <w:rPr>
          <w:sz w:val="28"/>
          <w:szCs w:val="28"/>
        </w:rPr>
        <w:t>рівень бідності за ознаками депривації  (частка домогосподарств із вимушеною відсутністю 4 та більше із 18 ознак).</w:t>
      </w:r>
    </w:p>
    <w:p w14:paraId="30C6EA58" w14:textId="1FE1AC4B" w:rsidR="006C7B11" w:rsidRPr="001062E8" w:rsidRDefault="006C7B11" w:rsidP="006C7B11">
      <w:pPr>
        <w:ind w:firstLine="567"/>
        <w:jc w:val="both"/>
        <w:rPr>
          <w:sz w:val="28"/>
          <w:szCs w:val="28"/>
          <w:lang w:val="ru-RU"/>
        </w:rPr>
      </w:pPr>
      <w:r w:rsidRPr="00D7673F">
        <w:rPr>
          <w:sz w:val="28"/>
          <w:szCs w:val="28"/>
        </w:rPr>
        <w:t>Порівняно з 201</w:t>
      </w:r>
      <w:r w:rsidR="002B2BB0" w:rsidRPr="00D7673F">
        <w:rPr>
          <w:sz w:val="28"/>
          <w:szCs w:val="28"/>
          <w:lang w:val="ru-RU"/>
        </w:rPr>
        <w:t>9</w:t>
      </w:r>
      <w:r w:rsidRPr="00D7673F">
        <w:rPr>
          <w:sz w:val="28"/>
          <w:szCs w:val="28"/>
        </w:rPr>
        <w:t xml:space="preserve">р. частка домогосподарств, які мали 4 та більше із 18 ознак депривацій, зменшилась на </w:t>
      </w:r>
      <w:r w:rsidR="006D33C2" w:rsidRPr="00D7673F">
        <w:rPr>
          <w:sz w:val="28"/>
          <w:szCs w:val="28"/>
          <w:lang w:val="ru-RU"/>
        </w:rPr>
        <w:t>3</w:t>
      </w:r>
      <w:r w:rsidRPr="00D7673F">
        <w:rPr>
          <w:sz w:val="28"/>
          <w:szCs w:val="28"/>
        </w:rPr>
        <w:t xml:space="preserve"> в.п. і склала 2</w:t>
      </w:r>
      <w:r w:rsidR="006D33C2" w:rsidRPr="00D7673F">
        <w:rPr>
          <w:sz w:val="28"/>
          <w:szCs w:val="28"/>
          <w:lang w:val="ru-RU"/>
        </w:rPr>
        <w:t>4</w:t>
      </w:r>
      <w:r w:rsidRPr="00D7673F">
        <w:rPr>
          <w:sz w:val="28"/>
          <w:szCs w:val="28"/>
        </w:rPr>
        <w:t>,</w:t>
      </w:r>
      <w:r w:rsidR="006D33C2" w:rsidRPr="00D7673F">
        <w:rPr>
          <w:sz w:val="28"/>
          <w:szCs w:val="28"/>
          <w:lang w:val="ru-RU"/>
        </w:rPr>
        <w:t>4</w:t>
      </w:r>
      <w:r w:rsidRPr="00D7673F">
        <w:rPr>
          <w:sz w:val="28"/>
          <w:szCs w:val="28"/>
        </w:rPr>
        <w:t>% у 20</w:t>
      </w:r>
      <w:r w:rsidR="006A5C2C" w:rsidRPr="00D7673F">
        <w:rPr>
          <w:sz w:val="28"/>
          <w:szCs w:val="28"/>
        </w:rPr>
        <w:t>2</w:t>
      </w:r>
      <w:r w:rsidRPr="00D7673F">
        <w:rPr>
          <w:sz w:val="28"/>
          <w:szCs w:val="28"/>
        </w:rPr>
        <w:t xml:space="preserve">1р. Бідність за ознаками депривації традиційно була найбільш поширена у домогосподарствах першої </w:t>
      </w:r>
      <w:proofErr w:type="spellStart"/>
      <w:r w:rsidRPr="00D7673F">
        <w:rPr>
          <w:sz w:val="28"/>
          <w:szCs w:val="28"/>
        </w:rPr>
        <w:t>децильної</w:t>
      </w:r>
      <w:proofErr w:type="spellEnd"/>
      <w:r w:rsidRPr="00D7673F">
        <w:rPr>
          <w:sz w:val="28"/>
          <w:szCs w:val="28"/>
        </w:rPr>
        <w:t xml:space="preserve"> групи за середньодушовими еквівалентними загальними доходами (половина проти 8% у домогосподарствах десятої </w:t>
      </w:r>
      <w:proofErr w:type="spellStart"/>
      <w:r w:rsidRPr="00D7673F">
        <w:rPr>
          <w:sz w:val="28"/>
          <w:szCs w:val="28"/>
        </w:rPr>
        <w:t>децильної</w:t>
      </w:r>
      <w:proofErr w:type="spellEnd"/>
      <w:r w:rsidRPr="00D7673F">
        <w:rPr>
          <w:sz w:val="28"/>
          <w:szCs w:val="28"/>
        </w:rPr>
        <w:t xml:space="preserve"> групи), у сільських</w:t>
      </w:r>
      <w:r w:rsidR="004A1A3B" w:rsidRPr="00D7673F">
        <w:rPr>
          <w:sz w:val="28"/>
          <w:szCs w:val="28"/>
        </w:rPr>
        <w:t xml:space="preserve"> домогосподарствах</w:t>
      </w:r>
      <w:r w:rsidRPr="00D7673F">
        <w:rPr>
          <w:sz w:val="28"/>
          <w:szCs w:val="28"/>
        </w:rPr>
        <w:t xml:space="preserve"> (4</w:t>
      </w:r>
      <w:r w:rsidR="001062E8" w:rsidRPr="00D7673F">
        <w:rPr>
          <w:sz w:val="28"/>
          <w:szCs w:val="28"/>
          <w:lang w:val="ru-RU"/>
        </w:rPr>
        <w:t>1</w:t>
      </w:r>
      <w:r w:rsidRPr="00D7673F">
        <w:rPr>
          <w:sz w:val="28"/>
          <w:szCs w:val="28"/>
        </w:rPr>
        <w:t xml:space="preserve">% проти кожного </w:t>
      </w:r>
      <w:proofErr w:type="spellStart"/>
      <w:r w:rsidR="001062E8" w:rsidRPr="00D7673F">
        <w:rPr>
          <w:sz w:val="28"/>
          <w:szCs w:val="28"/>
          <w:lang w:val="ru-RU"/>
        </w:rPr>
        <w:t>шос</w:t>
      </w:r>
      <w:proofErr w:type="spellEnd"/>
      <w:r w:rsidRPr="00D7673F">
        <w:rPr>
          <w:sz w:val="28"/>
          <w:szCs w:val="28"/>
        </w:rPr>
        <w:t>того міського), у домогосподарствах, де немає працюючих осіб (</w:t>
      </w:r>
      <w:r w:rsidR="001062E8" w:rsidRPr="00D7673F">
        <w:rPr>
          <w:sz w:val="28"/>
          <w:szCs w:val="28"/>
          <w:lang w:val="ru-RU"/>
        </w:rPr>
        <w:t>38</w:t>
      </w:r>
      <w:r w:rsidRPr="00D7673F">
        <w:rPr>
          <w:sz w:val="28"/>
          <w:szCs w:val="28"/>
        </w:rPr>
        <w:t>%)</w:t>
      </w:r>
      <w:r w:rsidR="001062E8" w:rsidRPr="00D7673F">
        <w:rPr>
          <w:sz w:val="28"/>
          <w:szCs w:val="28"/>
          <w:lang w:val="ru-RU"/>
        </w:rPr>
        <w:t xml:space="preserve"> та </w:t>
      </w:r>
      <w:r w:rsidR="001062E8" w:rsidRPr="00D7673F">
        <w:rPr>
          <w:sz w:val="28"/>
          <w:szCs w:val="28"/>
        </w:rPr>
        <w:t>домогосподарствах</w:t>
      </w:r>
      <w:r w:rsidR="001062E8" w:rsidRPr="00D7673F">
        <w:rPr>
          <w:sz w:val="28"/>
          <w:szCs w:val="28"/>
          <w:lang w:val="ru-RU"/>
        </w:rPr>
        <w:t>,</w:t>
      </w:r>
      <w:r w:rsidR="001062E8" w:rsidRPr="00D7673F">
        <w:rPr>
          <w:sz w:val="28"/>
          <w:szCs w:val="28"/>
        </w:rPr>
        <w:t xml:space="preserve"> які складаються з однієї особи (3</w:t>
      </w:r>
      <w:r w:rsidR="001062E8" w:rsidRPr="00D7673F">
        <w:rPr>
          <w:sz w:val="28"/>
          <w:szCs w:val="28"/>
          <w:lang w:val="ru-RU"/>
        </w:rPr>
        <w:t>6</w:t>
      </w:r>
      <w:r w:rsidR="001062E8" w:rsidRPr="00D7673F">
        <w:rPr>
          <w:sz w:val="28"/>
          <w:szCs w:val="28"/>
        </w:rPr>
        <w:t>%</w:t>
      </w:r>
      <w:r w:rsidR="001062E8" w:rsidRPr="00D7673F">
        <w:rPr>
          <w:sz w:val="28"/>
          <w:szCs w:val="28"/>
          <w:lang w:val="ru-RU"/>
        </w:rPr>
        <w:t>).</w:t>
      </w:r>
      <w:r w:rsidR="001062E8">
        <w:rPr>
          <w:sz w:val="28"/>
          <w:szCs w:val="28"/>
          <w:lang w:val="ru-RU"/>
        </w:rPr>
        <w:t xml:space="preserve"> </w:t>
      </w:r>
    </w:p>
    <w:p w14:paraId="0AC1FA16" w14:textId="62D45CAA" w:rsidR="006C7B11" w:rsidRPr="006C7B11" w:rsidRDefault="00197253" w:rsidP="009E22EF">
      <w:pPr>
        <w:ind w:firstLine="567"/>
        <w:jc w:val="both"/>
        <w:rPr>
          <w:sz w:val="28"/>
          <w:szCs w:val="28"/>
          <w:highlight w:val="yellow"/>
        </w:rPr>
      </w:pPr>
      <w:r>
        <w:rPr>
          <w:noProof/>
          <w:lang w:eastAsia="uk-UA"/>
        </w:rPr>
        <w:drawing>
          <wp:inline distT="0" distB="0" distL="0" distR="0" wp14:anchorId="52FAD943" wp14:editId="3A40317A">
            <wp:extent cx="5499612" cy="3377995"/>
            <wp:effectExtent l="0" t="0" r="635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4EA3D404" w14:textId="1BF652EC" w:rsidR="006C7B11" w:rsidRPr="00D7673F" w:rsidRDefault="006C7B11" w:rsidP="006C7B11">
      <w:pPr>
        <w:ind w:right="-87" w:firstLine="567"/>
        <w:jc w:val="both"/>
        <w:rPr>
          <w:sz w:val="28"/>
          <w:szCs w:val="28"/>
        </w:rPr>
      </w:pPr>
      <w:r w:rsidRPr="00D7673F">
        <w:rPr>
          <w:sz w:val="28"/>
          <w:szCs w:val="28"/>
        </w:rPr>
        <w:t>Рівень бідності за ознаками депривації у 20</w:t>
      </w:r>
      <w:r w:rsidR="00B250B4" w:rsidRPr="00D7673F">
        <w:rPr>
          <w:sz w:val="28"/>
          <w:szCs w:val="28"/>
        </w:rPr>
        <w:t>2</w:t>
      </w:r>
      <w:r w:rsidRPr="00D7673F">
        <w:rPr>
          <w:sz w:val="28"/>
          <w:szCs w:val="28"/>
        </w:rPr>
        <w:t>1р. зменшився порівняно з 201</w:t>
      </w:r>
      <w:r w:rsidR="002B2BB0" w:rsidRPr="00D7673F">
        <w:rPr>
          <w:sz w:val="28"/>
          <w:szCs w:val="28"/>
          <w:lang w:val="ru-RU"/>
        </w:rPr>
        <w:t>9</w:t>
      </w:r>
      <w:r w:rsidRPr="00D7673F">
        <w:rPr>
          <w:sz w:val="28"/>
          <w:szCs w:val="28"/>
        </w:rPr>
        <w:t>р. майже в усіх групах домогосподарств, за винятком домогосподарств</w:t>
      </w:r>
      <w:r w:rsidR="001062E8" w:rsidRPr="00D7673F">
        <w:rPr>
          <w:sz w:val="28"/>
          <w:szCs w:val="28"/>
          <w:lang w:val="ru-RU"/>
        </w:rPr>
        <w:t xml:space="preserve"> </w:t>
      </w:r>
      <w:proofErr w:type="spellStart"/>
      <w:r w:rsidR="001062E8" w:rsidRPr="00D7673F">
        <w:rPr>
          <w:sz w:val="28"/>
          <w:szCs w:val="28"/>
          <w:lang w:val="ru-RU"/>
        </w:rPr>
        <w:t>першо</w:t>
      </w:r>
      <w:r w:rsidR="00DB2271" w:rsidRPr="00D7673F">
        <w:rPr>
          <w:sz w:val="28"/>
          <w:szCs w:val="28"/>
          <w:lang w:val="ru-RU"/>
        </w:rPr>
        <w:t>ї</w:t>
      </w:r>
      <w:proofErr w:type="spellEnd"/>
      <w:r w:rsidR="001062E8" w:rsidRPr="00D7673F">
        <w:rPr>
          <w:sz w:val="28"/>
          <w:szCs w:val="28"/>
          <w:lang w:val="ru-RU"/>
        </w:rPr>
        <w:t xml:space="preserve"> та </w:t>
      </w:r>
      <w:proofErr w:type="spellStart"/>
      <w:r w:rsidR="001062E8" w:rsidRPr="00D7673F">
        <w:rPr>
          <w:sz w:val="28"/>
          <w:szCs w:val="28"/>
          <w:lang w:val="ru-RU"/>
        </w:rPr>
        <w:t>десято</w:t>
      </w:r>
      <w:r w:rsidR="00DB2271" w:rsidRPr="00D7673F">
        <w:rPr>
          <w:sz w:val="28"/>
          <w:szCs w:val="28"/>
          <w:lang w:val="ru-RU"/>
        </w:rPr>
        <w:t>ї</w:t>
      </w:r>
      <w:proofErr w:type="spellEnd"/>
      <w:r w:rsidR="001062E8" w:rsidRPr="00D7673F">
        <w:rPr>
          <w:sz w:val="28"/>
          <w:szCs w:val="28"/>
          <w:lang w:val="ru-RU"/>
        </w:rPr>
        <w:t xml:space="preserve"> </w:t>
      </w:r>
      <w:proofErr w:type="spellStart"/>
      <w:r w:rsidR="001062E8" w:rsidRPr="00D7673F">
        <w:rPr>
          <w:sz w:val="28"/>
          <w:szCs w:val="28"/>
          <w:lang w:val="ru-RU"/>
        </w:rPr>
        <w:t>дециль</w:t>
      </w:r>
      <w:r w:rsidR="00DB2271" w:rsidRPr="00D7673F">
        <w:rPr>
          <w:sz w:val="28"/>
          <w:szCs w:val="28"/>
          <w:lang w:val="ru-RU"/>
        </w:rPr>
        <w:t>них</w:t>
      </w:r>
      <w:proofErr w:type="spellEnd"/>
      <w:r w:rsidR="00DB2271" w:rsidRPr="00D7673F">
        <w:rPr>
          <w:sz w:val="28"/>
          <w:szCs w:val="28"/>
          <w:lang w:val="ru-RU"/>
        </w:rPr>
        <w:t xml:space="preserve"> </w:t>
      </w:r>
      <w:proofErr w:type="spellStart"/>
      <w:r w:rsidR="00DB2271" w:rsidRPr="00D7673F">
        <w:rPr>
          <w:sz w:val="28"/>
          <w:szCs w:val="28"/>
          <w:lang w:val="ru-RU"/>
        </w:rPr>
        <w:t>груп</w:t>
      </w:r>
      <w:proofErr w:type="spellEnd"/>
      <w:r w:rsidRPr="00D7673F">
        <w:rPr>
          <w:sz w:val="28"/>
          <w:szCs w:val="28"/>
        </w:rPr>
        <w:t>. У більшій мірі скорочення цього типу бідності відбулося у багатодітних домогосподарств</w:t>
      </w:r>
      <w:r w:rsidR="00DB2271" w:rsidRPr="00D7673F">
        <w:rPr>
          <w:sz w:val="28"/>
          <w:szCs w:val="28"/>
        </w:rPr>
        <w:t>ах</w:t>
      </w:r>
      <w:r w:rsidRPr="00D7673F">
        <w:rPr>
          <w:sz w:val="28"/>
          <w:szCs w:val="28"/>
        </w:rPr>
        <w:t xml:space="preserve"> (на </w:t>
      </w:r>
      <w:r w:rsidR="00DB2271" w:rsidRPr="00D7673F">
        <w:rPr>
          <w:sz w:val="28"/>
          <w:szCs w:val="28"/>
        </w:rPr>
        <w:t>14</w:t>
      </w:r>
      <w:r w:rsidRPr="00D7673F">
        <w:rPr>
          <w:sz w:val="28"/>
          <w:szCs w:val="28"/>
        </w:rPr>
        <w:t xml:space="preserve"> в.п.</w:t>
      </w:r>
      <w:r w:rsidR="00DB2271" w:rsidRPr="00D7673F">
        <w:rPr>
          <w:sz w:val="28"/>
          <w:szCs w:val="28"/>
        </w:rPr>
        <w:t>) та</w:t>
      </w:r>
      <w:r w:rsidRPr="00D7673F">
        <w:rPr>
          <w:sz w:val="28"/>
          <w:szCs w:val="28"/>
        </w:rPr>
        <w:t xml:space="preserve"> у домогосподарствах </w:t>
      </w:r>
      <w:r w:rsidR="00DB2271" w:rsidRPr="00D7673F">
        <w:rPr>
          <w:sz w:val="28"/>
          <w:szCs w:val="28"/>
        </w:rPr>
        <w:t>без дітей</w:t>
      </w:r>
      <w:r w:rsidRPr="00D7673F">
        <w:rPr>
          <w:sz w:val="28"/>
          <w:szCs w:val="28"/>
        </w:rPr>
        <w:t xml:space="preserve"> </w:t>
      </w:r>
      <w:r w:rsidR="00E54946">
        <w:rPr>
          <w:sz w:val="28"/>
          <w:szCs w:val="28"/>
        </w:rPr>
        <w:br/>
      </w:r>
      <w:r w:rsidR="00DB2271" w:rsidRPr="00D7673F">
        <w:rPr>
          <w:sz w:val="28"/>
          <w:szCs w:val="28"/>
        </w:rPr>
        <w:t>(</w:t>
      </w:r>
      <w:r w:rsidRPr="00D7673F">
        <w:rPr>
          <w:sz w:val="28"/>
          <w:szCs w:val="28"/>
        </w:rPr>
        <w:t xml:space="preserve">на </w:t>
      </w:r>
      <w:r w:rsidR="00DB2271" w:rsidRPr="00D7673F">
        <w:rPr>
          <w:sz w:val="28"/>
          <w:szCs w:val="28"/>
        </w:rPr>
        <w:t>7</w:t>
      </w:r>
      <w:r w:rsidRPr="00D7673F">
        <w:rPr>
          <w:sz w:val="28"/>
          <w:szCs w:val="28"/>
        </w:rPr>
        <w:t xml:space="preserve"> в.п.).</w:t>
      </w:r>
    </w:p>
    <w:p w14:paraId="4BFBAC60" w14:textId="75C6FCCD" w:rsidR="006C7B11" w:rsidRPr="00D7673F" w:rsidRDefault="006C7B11" w:rsidP="00F93C51">
      <w:pPr>
        <w:ind w:right="-87" w:firstLine="567"/>
        <w:jc w:val="both"/>
        <w:rPr>
          <w:color w:val="FF0000"/>
          <w:sz w:val="28"/>
          <w:szCs w:val="28"/>
        </w:rPr>
      </w:pPr>
      <w:r w:rsidRPr="00D7673F">
        <w:rPr>
          <w:sz w:val="28"/>
          <w:szCs w:val="28"/>
        </w:rPr>
        <w:t xml:space="preserve">За результатами дослідження був проведений аналіз поширення бідності за ознаками депривації серед населення, яке потерпало від інших форм бідності. </w:t>
      </w:r>
      <w:r w:rsidRPr="00D7673F">
        <w:rPr>
          <w:sz w:val="28"/>
          <w:szCs w:val="28"/>
        </w:rPr>
        <w:br/>
      </w:r>
    </w:p>
    <w:p w14:paraId="1110B9EB" w14:textId="77777777" w:rsidR="006C7B11" w:rsidRPr="00D7673F" w:rsidRDefault="006C7B11" w:rsidP="006E6023">
      <w:pPr>
        <w:ind w:right="-87" w:firstLine="567"/>
        <w:jc w:val="both"/>
        <w:rPr>
          <w:sz w:val="28"/>
          <w:szCs w:val="28"/>
        </w:rPr>
      </w:pPr>
      <w:r w:rsidRPr="00D7673F">
        <w:rPr>
          <w:noProof/>
          <w:sz w:val="28"/>
          <w:szCs w:val="28"/>
          <w:lang w:eastAsia="uk-UA"/>
        </w:rPr>
        <w:lastRenderedPageBreak/>
        <w:drawing>
          <wp:inline distT="0" distB="0" distL="0" distR="0" wp14:anchorId="7D5B3E69" wp14:editId="337EAFED">
            <wp:extent cx="5741670" cy="5867400"/>
            <wp:effectExtent l="0" t="0" r="0" b="0"/>
            <wp:docPr id="1" name="Діаграм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5C444DCE" w14:textId="77777777" w:rsidR="006C7B11" w:rsidRPr="00D7673F" w:rsidRDefault="006C7B11" w:rsidP="006C7B1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7673F">
        <w:rPr>
          <w:sz w:val="28"/>
          <w:szCs w:val="28"/>
        </w:rPr>
        <w:t>Рівень матеріальної депривації за методологією, встановленою у країнах-членах ЄС, визначається як відсоток населення із вимушеною відсутністю принаймні трьох, а глибокої депривації – чотирьох і більше із таких дев’яти ознак матеріальної депривації:</w:t>
      </w:r>
    </w:p>
    <w:p w14:paraId="4369D26B" w14:textId="6DDD4187" w:rsidR="006C7B11" w:rsidRPr="00D7673F" w:rsidRDefault="006C7B11" w:rsidP="006C7B11">
      <w:pPr>
        <w:pStyle w:val="af6"/>
        <w:numPr>
          <w:ilvl w:val="0"/>
          <w:numId w:val="3"/>
        </w:numPr>
        <w:spacing w:line="240" w:lineRule="auto"/>
        <w:ind w:left="284" w:hanging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673F">
        <w:rPr>
          <w:rFonts w:ascii="Times New Roman" w:eastAsia="Times New Roman" w:hAnsi="Times New Roman"/>
          <w:sz w:val="28"/>
          <w:szCs w:val="28"/>
          <w:lang w:eastAsia="ru-RU"/>
        </w:rPr>
        <w:t xml:space="preserve"> недостатність коштів для оплати орендних</w:t>
      </w:r>
      <w:r w:rsidR="004F58D7" w:rsidRPr="00D7673F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D7673F">
        <w:rPr>
          <w:rFonts w:ascii="Times New Roman" w:eastAsia="Times New Roman" w:hAnsi="Times New Roman"/>
          <w:sz w:val="28"/>
          <w:szCs w:val="28"/>
          <w:lang w:eastAsia="ru-RU"/>
        </w:rPr>
        <w:t>іпотечних платежів, платежів за споживчими кредитами або оплати житлово-комунальних послуг;</w:t>
      </w:r>
    </w:p>
    <w:p w14:paraId="4DBA3301" w14:textId="77777777" w:rsidR="006C7B11" w:rsidRPr="00D7673F" w:rsidRDefault="006C7B11" w:rsidP="006C7B11">
      <w:pPr>
        <w:pStyle w:val="af6"/>
        <w:numPr>
          <w:ilvl w:val="0"/>
          <w:numId w:val="3"/>
        </w:numPr>
        <w:spacing w:line="240" w:lineRule="auto"/>
        <w:ind w:left="284" w:hanging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673F">
        <w:rPr>
          <w:rFonts w:ascii="Times New Roman" w:eastAsia="Times New Roman" w:hAnsi="Times New Roman"/>
          <w:sz w:val="28"/>
          <w:szCs w:val="28"/>
          <w:lang w:eastAsia="ru-RU"/>
        </w:rPr>
        <w:t xml:space="preserve"> недостатність коштів для підтримування достатньо теплої температури у своєму житлі;</w:t>
      </w:r>
    </w:p>
    <w:p w14:paraId="7B4388EC" w14:textId="77777777" w:rsidR="006C7B11" w:rsidRPr="00D7673F" w:rsidRDefault="006C7B11" w:rsidP="006C7B11">
      <w:pPr>
        <w:pStyle w:val="af6"/>
        <w:numPr>
          <w:ilvl w:val="0"/>
          <w:numId w:val="3"/>
        </w:numPr>
        <w:spacing w:line="240" w:lineRule="auto"/>
        <w:ind w:left="284" w:hanging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673F">
        <w:rPr>
          <w:rFonts w:ascii="Times New Roman" w:eastAsia="Times New Roman" w:hAnsi="Times New Roman"/>
          <w:sz w:val="28"/>
          <w:szCs w:val="28"/>
          <w:lang w:eastAsia="ru-RU"/>
        </w:rPr>
        <w:t xml:space="preserve"> відсутність можливості дозволити собі неочікувані необхідні витрати за рахунок власних ресурсів;</w:t>
      </w:r>
    </w:p>
    <w:p w14:paraId="68E8C496" w14:textId="77777777" w:rsidR="006C7B11" w:rsidRPr="00D7673F" w:rsidRDefault="006C7B11" w:rsidP="006C7B11">
      <w:pPr>
        <w:pStyle w:val="af6"/>
        <w:numPr>
          <w:ilvl w:val="0"/>
          <w:numId w:val="3"/>
        </w:numPr>
        <w:spacing w:line="240" w:lineRule="auto"/>
        <w:ind w:left="284" w:hanging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673F">
        <w:rPr>
          <w:rFonts w:ascii="Times New Roman" w:eastAsia="Times New Roman" w:hAnsi="Times New Roman"/>
          <w:sz w:val="28"/>
          <w:szCs w:val="28"/>
          <w:lang w:eastAsia="ru-RU"/>
        </w:rPr>
        <w:t xml:space="preserve"> недостатність коштів для споживання страви з м’ясом, курятиною, рибою (або їх вегетаріанським еквівалентом) через день;</w:t>
      </w:r>
    </w:p>
    <w:p w14:paraId="44CA9C43" w14:textId="5C27B806" w:rsidR="006C7B11" w:rsidRPr="00D7673F" w:rsidRDefault="006C7B11" w:rsidP="006C7B11">
      <w:pPr>
        <w:pStyle w:val="af6"/>
        <w:numPr>
          <w:ilvl w:val="0"/>
          <w:numId w:val="3"/>
        </w:numPr>
        <w:spacing w:line="240" w:lineRule="auto"/>
        <w:ind w:left="284" w:hanging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673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F58D7" w:rsidRPr="00D7673F">
        <w:rPr>
          <w:rFonts w:ascii="Times New Roman" w:eastAsia="Times New Roman" w:hAnsi="Times New Roman"/>
          <w:sz w:val="28"/>
          <w:szCs w:val="28"/>
          <w:lang w:eastAsia="ru-RU"/>
        </w:rPr>
        <w:t>недостатність коштів для проведення щороку одного тижня відпустки далеко від дому;</w:t>
      </w:r>
    </w:p>
    <w:p w14:paraId="2BD99427" w14:textId="77777777" w:rsidR="006C7B11" w:rsidRPr="00D7673F" w:rsidRDefault="006C7B11" w:rsidP="006C7B11">
      <w:pPr>
        <w:pStyle w:val="af6"/>
        <w:numPr>
          <w:ilvl w:val="0"/>
          <w:numId w:val="3"/>
        </w:numPr>
        <w:spacing w:line="240" w:lineRule="auto"/>
        <w:ind w:left="284" w:hanging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673F">
        <w:rPr>
          <w:rFonts w:ascii="Times New Roman" w:eastAsia="Times New Roman" w:hAnsi="Times New Roman"/>
          <w:sz w:val="28"/>
          <w:szCs w:val="28"/>
          <w:lang w:eastAsia="ru-RU"/>
        </w:rPr>
        <w:t xml:space="preserve"> відсутність автомобіля;</w:t>
      </w:r>
    </w:p>
    <w:p w14:paraId="55155F87" w14:textId="77777777" w:rsidR="006C7B11" w:rsidRPr="00D7673F" w:rsidRDefault="006C7B11" w:rsidP="006C7B11">
      <w:pPr>
        <w:pStyle w:val="af6"/>
        <w:numPr>
          <w:ilvl w:val="0"/>
          <w:numId w:val="3"/>
        </w:numPr>
        <w:spacing w:line="240" w:lineRule="auto"/>
        <w:ind w:left="284" w:hanging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673F">
        <w:rPr>
          <w:rFonts w:ascii="Times New Roman" w:eastAsia="Times New Roman" w:hAnsi="Times New Roman"/>
          <w:sz w:val="28"/>
          <w:szCs w:val="28"/>
          <w:lang w:eastAsia="ru-RU"/>
        </w:rPr>
        <w:t xml:space="preserve"> відсутність пральної машини;</w:t>
      </w:r>
    </w:p>
    <w:p w14:paraId="2FFEA333" w14:textId="77777777" w:rsidR="006C7B11" w:rsidRPr="00D7673F" w:rsidRDefault="006C7B11" w:rsidP="006C7B11">
      <w:pPr>
        <w:pStyle w:val="af6"/>
        <w:numPr>
          <w:ilvl w:val="0"/>
          <w:numId w:val="3"/>
        </w:numPr>
        <w:spacing w:line="240" w:lineRule="auto"/>
        <w:ind w:left="284" w:hanging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673F">
        <w:rPr>
          <w:rFonts w:ascii="Times New Roman" w:eastAsia="Times New Roman" w:hAnsi="Times New Roman"/>
          <w:sz w:val="28"/>
          <w:szCs w:val="28"/>
          <w:lang w:eastAsia="ru-RU"/>
        </w:rPr>
        <w:t xml:space="preserve"> відсутність кольорового телевізора;</w:t>
      </w:r>
    </w:p>
    <w:p w14:paraId="56C7973E" w14:textId="77777777" w:rsidR="006C7B11" w:rsidRPr="00D7673F" w:rsidRDefault="006C7B11" w:rsidP="006C7B11">
      <w:pPr>
        <w:pStyle w:val="af6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673F">
        <w:rPr>
          <w:rFonts w:ascii="Times New Roman" w:eastAsia="Times New Roman" w:hAnsi="Times New Roman"/>
          <w:sz w:val="28"/>
          <w:szCs w:val="28"/>
          <w:lang w:eastAsia="ru-RU"/>
        </w:rPr>
        <w:t xml:space="preserve"> відсутність телефону (у т. ч. мобільного).</w:t>
      </w:r>
    </w:p>
    <w:p w14:paraId="42021CCF" w14:textId="71F98518" w:rsidR="006C7B11" w:rsidRPr="00D7673F" w:rsidRDefault="006C7B11" w:rsidP="006C7B1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7673F">
        <w:rPr>
          <w:sz w:val="28"/>
          <w:szCs w:val="28"/>
        </w:rPr>
        <w:t>Як у країнах ЄС, так і в Україні, населення найбільше потерпало від неможливості дозволити собі неочікувані необхідні витрати за рахунок власних ресурсів. Однак значення цього показника в Україні було в 1,</w:t>
      </w:r>
      <w:r w:rsidR="00292DA9" w:rsidRPr="00D7673F">
        <w:rPr>
          <w:sz w:val="28"/>
          <w:szCs w:val="28"/>
        </w:rPr>
        <w:t>4</w:t>
      </w:r>
      <w:r w:rsidRPr="00D7673F">
        <w:rPr>
          <w:sz w:val="28"/>
          <w:szCs w:val="28"/>
        </w:rPr>
        <w:t xml:space="preserve"> раза вище (</w:t>
      </w:r>
      <w:r w:rsidR="00292DA9" w:rsidRPr="00D7673F">
        <w:rPr>
          <w:sz w:val="28"/>
          <w:szCs w:val="28"/>
        </w:rPr>
        <w:t>47</w:t>
      </w:r>
      <w:r w:rsidRPr="00D7673F">
        <w:rPr>
          <w:sz w:val="28"/>
          <w:szCs w:val="28"/>
        </w:rPr>
        <w:t>% проти третини у країнах ЄС).</w:t>
      </w:r>
    </w:p>
    <w:p w14:paraId="661811A1" w14:textId="2909AFE9" w:rsidR="006C7B11" w:rsidRPr="00D7673F" w:rsidRDefault="006C7B11" w:rsidP="006C7B1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7673F">
        <w:rPr>
          <w:sz w:val="28"/>
          <w:szCs w:val="28"/>
        </w:rPr>
        <w:t>Лише 0,</w:t>
      </w:r>
      <w:r w:rsidR="00CE2CE7" w:rsidRPr="00D7673F">
        <w:rPr>
          <w:sz w:val="28"/>
          <w:szCs w:val="28"/>
        </w:rPr>
        <w:t>2</w:t>
      </w:r>
      <w:r w:rsidRPr="00D7673F">
        <w:rPr>
          <w:sz w:val="28"/>
          <w:szCs w:val="28"/>
        </w:rPr>
        <w:t>% населення ЄС (1,</w:t>
      </w:r>
      <w:r w:rsidR="00CE2CE7" w:rsidRPr="00D7673F">
        <w:rPr>
          <w:sz w:val="28"/>
          <w:szCs w:val="28"/>
        </w:rPr>
        <w:t>1</w:t>
      </w:r>
      <w:r w:rsidRPr="00D7673F">
        <w:rPr>
          <w:sz w:val="28"/>
          <w:szCs w:val="28"/>
        </w:rPr>
        <w:t>% – в Україні) не мало можливості придбати телефон (у т.ч. мобільний), що є найнижчими показниками із переліку дев’яти визначених ознак.</w:t>
      </w:r>
    </w:p>
    <w:p w14:paraId="446944ED" w14:textId="6F6632B5" w:rsidR="006C7B11" w:rsidRDefault="006C7B11" w:rsidP="006C7B1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7673F">
        <w:rPr>
          <w:sz w:val="28"/>
          <w:szCs w:val="28"/>
        </w:rPr>
        <w:t xml:space="preserve">За іншими ознаками депривація населення в Україні, визначена за європейською методологією, була в </w:t>
      </w:r>
      <w:r w:rsidR="00CE2CE7" w:rsidRPr="00D7673F">
        <w:rPr>
          <w:sz w:val="28"/>
          <w:szCs w:val="28"/>
        </w:rPr>
        <w:t>7</w:t>
      </w:r>
      <w:r w:rsidRPr="00D7673F">
        <w:rPr>
          <w:sz w:val="28"/>
          <w:szCs w:val="28"/>
        </w:rPr>
        <w:t>−1,</w:t>
      </w:r>
      <w:r w:rsidR="00CE2CE7" w:rsidRPr="00D7673F">
        <w:rPr>
          <w:sz w:val="28"/>
          <w:szCs w:val="28"/>
        </w:rPr>
        <w:t>3</w:t>
      </w:r>
      <w:r w:rsidRPr="00D7673F">
        <w:rPr>
          <w:sz w:val="28"/>
          <w:szCs w:val="28"/>
        </w:rPr>
        <w:t xml:space="preserve"> раз</w:t>
      </w:r>
      <w:r w:rsidR="00CE2CE7" w:rsidRPr="00D7673F">
        <w:rPr>
          <w:sz w:val="28"/>
          <w:szCs w:val="28"/>
        </w:rPr>
        <w:t>а</w:t>
      </w:r>
      <w:r w:rsidRPr="00D7673F">
        <w:rPr>
          <w:sz w:val="28"/>
          <w:szCs w:val="28"/>
        </w:rPr>
        <w:t xml:space="preserve"> більша, ніж у країнах ЄС, найбільш суттєво – за неможливістю дозволити собі кольоровий телевізор, пральну машину</w:t>
      </w:r>
      <w:r w:rsidR="00F93C51" w:rsidRPr="00D7673F">
        <w:rPr>
          <w:sz w:val="28"/>
          <w:szCs w:val="28"/>
        </w:rPr>
        <w:t xml:space="preserve"> та автомобіль </w:t>
      </w:r>
      <w:r w:rsidRPr="00D7673F">
        <w:rPr>
          <w:sz w:val="28"/>
          <w:szCs w:val="28"/>
        </w:rPr>
        <w:t xml:space="preserve">(додаток </w:t>
      </w:r>
      <w:r w:rsidR="00884B1E" w:rsidRPr="00D7673F">
        <w:rPr>
          <w:sz w:val="28"/>
          <w:szCs w:val="28"/>
        </w:rPr>
        <w:t>4</w:t>
      </w:r>
      <w:r w:rsidRPr="00D7673F">
        <w:rPr>
          <w:sz w:val="28"/>
          <w:szCs w:val="28"/>
        </w:rPr>
        <w:t>).</w:t>
      </w:r>
    </w:p>
    <w:p w14:paraId="7E6943F6" w14:textId="48A01CDD" w:rsidR="00BF677C" w:rsidRPr="00D7673F" w:rsidRDefault="00BF677C" w:rsidP="00BF677C">
      <w:pPr>
        <w:pStyle w:val="a4"/>
        <w:ind w:firstLine="567"/>
        <w:jc w:val="both"/>
        <w:rPr>
          <w:spacing w:val="4"/>
          <w:sz w:val="28"/>
          <w:szCs w:val="28"/>
        </w:rPr>
      </w:pPr>
      <w:r w:rsidRPr="00D7673F">
        <w:rPr>
          <w:spacing w:val="4"/>
          <w:sz w:val="28"/>
          <w:szCs w:val="28"/>
        </w:rPr>
        <w:t>Свої потреби домогосподарства задовольняли за рахунок ресурсів, які надходили з різних джерел.</w:t>
      </w:r>
      <w:r w:rsidRPr="00D7673F">
        <w:rPr>
          <w:i/>
          <w:spacing w:val="4"/>
          <w:sz w:val="28"/>
          <w:szCs w:val="28"/>
        </w:rPr>
        <w:t xml:space="preserve"> </w:t>
      </w:r>
      <w:r w:rsidRPr="00D7673F">
        <w:rPr>
          <w:b/>
          <w:spacing w:val="4"/>
          <w:sz w:val="28"/>
          <w:szCs w:val="28"/>
        </w:rPr>
        <w:t xml:space="preserve">Середньомісячні сукупні ресурси </w:t>
      </w:r>
      <w:r w:rsidRPr="00D7673F">
        <w:rPr>
          <w:spacing w:val="4"/>
          <w:sz w:val="28"/>
          <w:szCs w:val="28"/>
        </w:rPr>
        <w:t xml:space="preserve">(далі – ресурси) одного домогосподарства становили 14491 грн, міського – 15001 грн, сільського – 13418 грн і зросли порівняно з 2020р. у цілому по Україні та  у міській місцевості – на 17%, у сільській місцевості – на 15%. Ресурси однієї особи в середньому становили відповідно </w:t>
      </w:r>
      <w:r w:rsidRPr="00D7673F">
        <w:rPr>
          <w:spacing w:val="4"/>
          <w:sz w:val="28"/>
          <w:szCs w:val="28"/>
          <w:lang w:val="ru-RU"/>
        </w:rPr>
        <w:t>6</w:t>
      </w:r>
      <w:r w:rsidRPr="00D7673F">
        <w:rPr>
          <w:spacing w:val="4"/>
          <w:sz w:val="28"/>
          <w:szCs w:val="28"/>
        </w:rPr>
        <w:t>9</w:t>
      </w:r>
      <w:r w:rsidRPr="00D7673F">
        <w:rPr>
          <w:spacing w:val="4"/>
          <w:sz w:val="28"/>
          <w:szCs w:val="28"/>
          <w:lang w:val="ru-RU"/>
        </w:rPr>
        <w:t>0</w:t>
      </w:r>
      <w:r w:rsidRPr="00D7673F">
        <w:rPr>
          <w:spacing w:val="4"/>
          <w:sz w:val="28"/>
          <w:szCs w:val="28"/>
        </w:rPr>
        <w:t xml:space="preserve">0 грн, </w:t>
      </w:r>
      <w:r w:rsidRPr="00D7673F">
        <w:rPr>
          <w:spacing w:val="4"/>
          <w:sz w:val="28"/>
          <w:szCs w:val="28"/>
          <w:lang w:val="ru-RU"/>
        </w:rPr>
        <w:t>7247</w:t>
      </w:r>
      <w:r w:rsidRPr="00D7673F">
        <w:rPr>
          <w:spacing w:val="4"/>
          <w:sz w:val="28"/>
          <w:szCs w:val="28"/>
        </w:rPr>
        <w:t xml:space="preserve"> грн та </w:t>
      </w:r>
      <w:r w:rsidRPr="00D7673F">
        <w:rPr>
          <w:spacing w:val="4"/>
          <w:sz w:val="28"/>
          <w:szCs w:val="28"/>
          <w:lang w:val="ru-RU"/>
        </w:rPr>
        <w:t>6183</w:t>
      </w:r>
      <w:r w:rsidRPr="00D7673F">
        <w:rPr>
          <w:spacing w:val="4"/>
          <w:sz w:val="28"/>
          <w:szCs w:val="28"/>
        </w:rPr>
        <w:t xml:space="preserve"> грн.</w:t>
      </w:r>
    </w:p>
    <w:p w14:paraId="27613DB6" w14:textId="238C2484" w:rsidR="00BF677C" w:rsidRPr="00D7673F" w:rsidRDefault="00BF677C" w:rsidP="00BF677C">
      <w:pPr>
        <w:ind w:firstLine="567"/>
        <w:jc w:val="both"/>
        <w:rPr>
          <w:sz w:val="28"/>
          <w:lang w:val="ru-RU"/>
        </w:rPr>
      </w:pPr>
      <w:r w:rsidRPr="00D7673F">
        <w:rPr>
          <w:sz w:val="28"/>
        </w:rPr>
        <w:t xml:space="preserve">Грошові доходи </w:t>
      </w:r>
      <w:r w:rsidRPr="00D7673F">
        <w:rPr>
          <w:sz w:val="28"/>
          <w:lang w:val="ru-RU"/>
        </w:rPr>
        <w:t xml:space="preserve">як і у 2020р. </w:t>
      </w:r>
      <w:r w:rsidRPr="00D7673F">
        <w:rPr>
          <w:sz w:val="28"/>
        </w:rPr>
        <w:t xml:space="preserve">становили домінуючу частину (94%) структури ресурсів домогосподарств. У міських домогосподарствах їх частка </w:t>
      </w:r>
      <w:proofErr w:type="spellStart"/>
      <w:r w:rsidRPr="00D7673F">
        <w:rPr>
          <w:sz w:val="28"/>
          <w:lang w:val="ru-RU"/>
        </w:rPr>
        <w:t>зменшилась</w:t>
      </w:r>
      <w:proofErr w:type="spellEnd"/>
      <w:r w:rsidRPr="00D7673F">
        <w:rPr>
          <w:sz w:val="28"/>
          <w:lang w:val="ru-RU"/>
        </w:rPr>
        <w:t xml:space="preserve"> на 0,2 в.п. і становила 96%, </w:t>
      </w:r>
      <w:r w:rsidRPr="00D7673F">
        <w:rPr>
          <w:sz w:val="28"/>
        </w:rPr>
        <w:t xml:space="preserve">а в сільських </w:t>
      </w:r>
      <w:proofErr w:type="spellStart"/>
      <w:r w:rsidRPr="00D7673F">
        <w:rPr>
          <w:sz w:val="28"/>
          <w:lang w:val="ru-RU"/>
        </w:rPr>
        <w:t>збільшилася</w:t>
      </w:r>
      <w:proofErr w:type="spellEnd"/>
      <w:r w:rsidRPr="00D7673F">
        <w:rPr>
          <w:sz w:val="28"/>
          <w:lang w:val="ru-RU"/>
        </w:rPr>
        <w:t xml:space="preserve"> </w:t>
      </w:r>
      <w:r w:rsidRPr="00D7673F">
        <w:rPr>
          <w:sz w:val="28"/>
        </w:rPr>
        <w:t xml:space="preserve">– на </w:t>
      </w:r>
      <w:r w:rsidRPr="00D7673F">
        <w:rPr>
          <w:sz w:val="28"/>
          <w:lang w:val="ru-RU"/>
        </w:rPr>
        <w:t>0,5</w:t>
      </w:r>
      <w:r w:rsidRPr="00D7673F">
        <w:rPr>
          <w:sz w:val="28"/>
        </w:rPr>
        <w:t xml:space="preserve"> в.п. і склала 8</w:t>
      </w:r>
      <w:r w:rsidRPr="00D7673F">
        <w:rPr>
          <w:sz w:val="28"/>
          <w:lang w:val="ru-RU"/>
        </w:rPr>
        <w:t>9</w:t>
      </w:r>
      <w:r w:rsidRPr="00D7673F">
        <w:rPr>
          <w:sz w:val="28"/>
        </w:rPr>
        <w:t xml:space="preserve">% (додаток </w:t>
      </w:r>
      <w:r w:rsidR="00884B1E" w:rsidRPr="00D7673F">
        <w:rPr>
          <w:sz w:val="28"/>
          <w:lang w:val="ru-RU"/>
        </w:rPr>
        <w:t>5</w:t>
      </w:r>
      <w:r w:rsidRPr="00D7673F">
        <w:rPr>
          <w:sz w:val="28"/>
        </w:rPr>
        <w:t>)</w:t>
      </w:r>
      <w:r w:rsidRPr="00D7673F">
        <w:rPr>
          <w:sz w:val="28"/>
          <w:lang w:val="ru-RU"/>
        </w:rPr>
        <w:t>.</w:t>
      </w:r>
    </w:p>
    <w:p w14:paraId="58894702" w14:textId="72BC9B56" w:rsidR="00BF677C" w:rsidRPr="00F74105" w:rsidRDefault="00BF677C" w:rsidP="00BF677C">
      <w:pPr>
        <w:pStyle w:val="a4"/>
        <w:ind w:firstLine="567"/>
        <w:jc w:val="both"/>
        <w:rPr>
          <w:sz w:val="28"/>
        </w:rPr>
      </w:pPr>
      <w:r w:rsidRPr="00D7673F">
        <w:rPr>
          <w:sz w:val="28"/>
        </w:rPr>
        <w:t>Порівняно з 20</w:t>
      </w:r>
      <w:r w:rsidRPr="00D7673F">
        <w:rPr>
          <w:sz w:val="28"/>
          <w:lang w:val="ru-RU"/>
        </w:rPr>
        <w:t>20</w:t>
      </w:r>
      <w:r w:rsidRPr="00D7673F">
        <w:rPr>
          <w:sz w:val="28"/>
        </w:rPr>
        <w:t xml:space="preserve">р., частка доходів від зайнятості збільшилася на </w:t>
      </w:r>
      <w:r w:rsidRPr="00D7673F">
        <w:rPr>
          <w:sz w:val="28"/>
          <w:lang w:val="ru-RU"/>
        </w:rPr>
        <w:t>1,4</w:t>
      </w:r>
      <w:r w:rsidRPr="00D7673F">
        <w:rPr>
          <w:sz w:val="28"/>
        </w:rPr>
        <w:t xml:space="preserve"> в.п. і склала </w:t>
      </w:r>
      <w:proofErr w:type="spellStart"/>
      <w:r w:rsidR="00D72960" w:rsidRPr="00D7673F">
        <w:rPr>
          <w:sz w:val="28"/>
          <w:lang w:val="ru-RU"/>
        </w:rPr>
        <w:t>дві</w:t>
      </w:r>
      <w:proofErr w:type="spellEnd"/>
      <w:r w:rsidR="00D72960" w:rsidRPr="00D7673F">
        <w:rPr>
          <w:sz w:val="28"/>
          <w:lang w:val="ru-RU"/>
        </w:rPr>
        <w:t xml:space="preserve"> </w:t>
      </w:r>
      <w:proofErr w:type="spellStart"/>
      <w:r w:rsidR="00D72960" w:rsidRPr="00D7673F">
        <w:rPr>
          <w:sz w:val="28"/>
          <w:lang w:val="ru-RU"/>
        </w:rPr>
        <w:t>третини</w:t>
      </w:r>
      <w:proofErr w:type="spellEnd"/>
      <w:r w:rsidRPr="00D7673F">
        <w:rPr>
          <w:sz w:val="28"/>
        </w:rPr>
        <w:t xml:space="preserve"> ресурсів домогосподарств. При цьому частка оплати праці (60%) зросла на 1,5 в.п., а частка доходів від підприємницької діяльності та самозайнятості (6%) зменшилася на 0,1 в.п.</w:t>
      </w:r>
      <w:r w:rsidRPr="00D7673F">
        <w:rPr>
          <w:spacing w:val="4"/>
          <w:sz w:val="28"/>
          <w:szCs w:val="28"/>
        </w:rPr>
        <w:t xml:space="preserve"> Частка п</w:t>
      </w:r>
      <w:r w:rsidRPr="00D7673F">
        <w:rPr>
          <w:sz w:val="28"/>
          <w:szCs w:val="28"/>
        </w:rPr>
        <w:t xml:space="preserve">енсій, стипендій та соціальних допомог (включаючи готівкові та безготівкові пільги та субсидії) зменшилась на 1 в.п. і становила п’яту частину ресурсів домогосподарств, у т.ч. частка пільг та субсидій на оплату житла, комунальних </w:t>
      </w:r>
      <w:r w:rsidRPr="00F74105">
        <w:rPr>
          <w:sz w:val="28"/>
          <w:szCs w:val="28"/>
        </w:rPr>
        <w:t>продуктів та послуг (готівкові та безготівкові) залишилася на рівні 2020р. і становила</w:t>
      </w:r>
      <w:r w:rsidR="00B651A6" w:rsidRPr="00F74105">
        <w:rPr>
          <w:sz w:val="28"/>
          <w:szCs w:val="28"/>
        </w:rPr>
        <w:t xml:space="preserve"> 1</w:t>
      </w:r>
      <w:r w:rsidR="00A502B1" w:rsidRPr="00F74105">
        <w:rPr>
          <w:sz w:val="28"/>
          <w:szCs w:val="28"/>
        </w:rPr>
        <w:t>,</w:t>
      </w:r>
      <w:r w:rsidR="00B651A6" w:rsidRPr="00F74105">
        <w:rPr>
          <w:sz w:val="28"/>
          <w:szCs w:val="28"/>
        </w:rPr>
        <w:t>3</w:t>
      </w:r>
      <w:r w:rsidRPr="00F74105">
        <w:rPr>
          <w:sz w:val="28"/>
          <w:szCs w:val="28"/>
        </w:rPr>
        <w:t>% усіх ресурсів домогосподарств.</w:t>
      </w:r>
    </w:p>
    <w:p w14:paraId="2575F40A" w14:textId="77777777" w:rsidR="00BF677C" w:rsidRPr="00F74105" w:rsidRDefault="00BF677C" w:rsidP="00BF677C">
      <w:pPr>
        <w:pStyle w:val="a4"/>
        <w:ind w:firstLine="567"/>
        <w:jc w:val="both"/>
        <w:rPr>
          <w:sz w:val="10"/>
          <w:szCs w:val="10"/>
        </w:rPr>
      </w:pPr>
    </w:p>
    <w:p w14:paraId="391FF515" w14:textId="77777777" w:rsidR="00BF677C" w:rsidRPr="006C7B11" w:rsidRDefault="00BF677C" w:rsidP="00BF677C">
      <w:pPr>
        <w:rPr>
          <w:highlight w:val="green"/>
          <w:lang w:val="en-US"/>
        </w:rPr>
      </w:pPr>
      <w:r w:rsidRPr="00A50F7E">
        <w:rPr>
          <w:noProof/>
          <w:lang w:eastAsia="uk-UA"/>
        </w:rPr>
        <w:drawing>
          <wp:inline distT="0" distB="0" distL="0" distR="0" wp14:anchorId="423FFCC6" wp14:editId="7F9D2DE9">
            <wp:extent cx="6076950" cy="2733675"/>
            <wp:effectExtent l="0" t="0" r="0" b="0"/>
            <wp:docPr id="3" name="Об'єкт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1A09EB1E" w14:textId="77777777" w:rsidR="00BF677C" w:rsidRPr="006C7B11" w:rsidRDefault="00BF677C" w:rsidP="00BF677C">
      <w:pPr>
        <w:ind w:left="142"/>
        <w:jc w:val="both"/>
        <w:rPr>
          <w:sz w:val="8"/>
          <w:szCs w:val="8"/>
          <w:highlight w:val="green"/>
        </w:rPr>
      </w:pPr>
    </w:p>
    <w:p w14:paraId="098D9221" w14:textId="77777777" w:rsidR="00BF677C" w:rsidRPr="00D7673F" w:rsidRDefault="00BF677C" w:rsidP="00BF677C">
      <w:pPr>
        <w:ind w:left="142" w:right="282"/>
        <w:jc w:val="both"/>
      </w:pPr>
      <w:r w:rsidRPr="00D7673F">
        <w:t>* Оплата праці, доходи від підприємницької діяльності та самозайнятості.</w:t>
      </w:r>
    </w:p>
    <w:p w14:paraId="172BA042" w14:textId="77777777" w:rsidR="00BF677C" w:rsidRPr="00D7673F" w:rsidRDefault="00BF677C" w:rsidP="00BF677C">
      <w:pPr>
        <w:tabs>
          <w:tab w:val="left" w:pos="284"/>
          <w:tab w:val="left" w:pos="567"/>
        </w:tabs>
        <w:ind w:left="142" w:right="282"/>
        <w:jc w:val="both"/>
      </w:pPr>
      <w:r w:rsidRPr="00D7673F">
        <w:t>**Доходи від продажу сільськогосподарської продукції та вартість спожитої продукції, отриманої з особистого підсобного господарства.</w:t>
      </w:r>
    </w:p>
    <w:p w14:paraId="7FAFB427" w14:textId="77777777" w:rsidR="00BF677C" w:rsidRPr="00D7673F" w:rsidRDefault="00BF677C" w:rsidP="00BF677C">
      <w:pPr>
        <w:pStyle w:val="a4"/>
        <w:jc w:val="both"/>
        <w:rPr>
          <w:sz w:val="28"/>
          <w:szCs w:val="28"/>
        </w:rPr>
      </w:pPr>
    </w:p>
    <w:p w14:paraId="129F3482" w14:textId="77777777" w:rsidR="00BF677C" w:rsidRPr="00D7673F" w:rsidRDefault="00BF677C" w:rsidP="00BF677C">
      <w:pPr>
        <w:pStyle w:val="a4"/>
        <w:ind w:firstLine="567"/>
        <w:jc w:val="both"/>
        <w:rPr>
          <w:sz w:val="28"/>
        </w:rPr>
      </w:pPr>
      <w:r w:rsidRPr="00D7673F">
        <w:rPr>
          <w:sz w:val="28"/>
        </w:rPr>
        <w:t>Значні розбіжності мали структури формування сукупних ресурсів міських та сільських домогосподарств.</w:t>
      </w:r>
    </w:p>
    <w:p w14:paraId="00AE07EB" w14:textId="206C3867" w:rsidR="00BF677C" w:rsidRPr="00D7673F" w:rsidRDefault="00BF677C" w:rsidP="00BF677C">
      <w:pPr>
        <w:pStyle w:val="a4"/>
        <w:ind w:firstLine="567"/>
        <w:jc w:val="both"/>
        <w:rPr>
          <w:sz w:val="28"/>
        </w:rPr>
      </w:pPr>
      <w:r w:rsidRPr="00D7673F">
        <w:rPr>
          <w:spacing w:val="-2"/>
          <w:sz w:val="28"/>
        </w:rPr>
        <w:t xml:space="preserve">Доходи від зайнятості </w:t>
      </w:r>
      <w:r w:rsidRPr="00D7673F">
        <w:rPr>
          <w:sz w:val="28"/>
        </w:rPr>
        <w:t>міських домогосподарств становили</w:t>
      </w:r>
      <w:r w:rsidRPr="00D7673F">
        <w:rPr>
          <w:spacing w:val="-2"/>
          <w:sz w:val="28"/>
        </w:rPr>
        <w:t xml:space="preserve"> </w:t>
      </w:r>
      <w:r w:rsidRPr="00D7673F">
        <w:rPr>
          <w:sz w:val="28"/>
        </w:rPr>
        <w:t xml:space="preserve">71% у структурі ресурсів </w:t>
      </w:r>
      <w:r w:rsidRPr="00D7673F">
        <w:rPr>
          <w:spacing w:val="-2"/>
          <w:sz w:val="28"/>
        </w:rPr>
        <w:t>(їх частка порівняно з 2020р. збільшилася на 1,4 в.п.), п</w:t>
      </w:r>
      <w:r w:rsidRPr="00D7673F">
        <w:rPr>
          <w:sz w:val="28"/>
        </w:rPr>
        <w:t>'</w:t>
      </w:r>
      <w:r w:rsidRPr="00D7673F">
        <w:rPr>
          <w:spacing w:val="-2"/>
          <w:sz w:val="28"/>
        </w:rPr>
        <w:t>яту частину – пенсії, стипендії та соціальні допомоги, надані готівкою (з</w:t>
      </w:r>
      <w:r w:rsidRPr="00D7673F">
        <w:rPr>
          <w:spacing w:val="-2"/>
          <w:sz w:val="28"/>
          <w:lang w:val="ru-RU"/>
        </w:rPr>
        <w:t>мен</w:t>
      </w:r>
      <w:proofErr w:type="spellStart"/>
      <w:r w:rsidRPr="00D7673F">
        <w:rPr>
          <w:spacing w:val="-2"/>
          <w:sz w:val="28"/>
        </w:rPr>
        <w:t>шилися</w:t>
      </w:r>
      <w:proofErr w:type="spellEnd"/>
      <w:r w:rsidRPr="00D7673F">
        <w:rPr>
          <w:spacing w:val="-2"/>
          <w:sz w:val="28"/>
        </w:rPr>
        <w:t xml:space="preserve"> на </w:t>
      </w:r>
      <w:r w:rsidRPr="00D7673F">
        <w:rPr>
          <w:spacing w:val="-2"/>
          <w:sz w:val="28"/>
          <w:lang w:val="ru-RU"/>
        </w:rPr>
        <w:t>0</w:t>
      </w:r>
      <w:r w:rsidRPr="00D7673F">
        <w:rPr>
          <w:spacing w:val="-2"/>
          <w:sz w:val="28"/>
        </w:rPr>
        <w:t>,</w:t>
      </w:r>
      <w:r w:rsidRPr="00D7673F">
        <w:rPr>
          <w:spacing w:val="-2"/>
          <w:sz w:val="28"/>
          <w:lang w:val="ru-RU"/>
        </w:rPr>
        <w:t>9</w:t>
      </w:r>
      <w:r w:rsidRPr="00D7673F">
        <w:rPr>
          <w:spacing w:val="-2"/>
          <w:sz w:val="28"/>
        </w:rPr>
        <w:t xml:space="preserve"> в.п</w:t>
      </w:r>
      <w:r w:rsidRPr="00D7673F">
        <w:rPr>
          <w:sz w:val="28"/>
        </w:rPr>
        <w:t>).</w:t>
      </w:r>
    </w:p>
    <w:p w14:paraId="2F7267B0" w14:textId="77777777" w:rsidR="00BF677C" w:rsidRPr="00D7673F" w:rsidRDefault="00BF677C" w:rsidP="00BF677C">
      <w:pPr>
        <w:pStyle w:val="a4"/>
        <w:ind w:firstLine="567"/>
        <w:jc w:val="both"/>
        <w:rPr>
          <w:sz w:val="28"/>
        </w:rPr>
      </w:pPr>
      <w:r w:rsidRPr="00D7673F">
        <w:rPr>
          <w:sz w:val="28"/>
        </w:rPr>
        <w:t xml:space="preserve">Половину ресурсів сільських домогосподарств складали доходи від зайнятості, що на </w:t>
      </w:r>
      <w:r w:rsidRPr="00D7673F">
        <w:rPr>
          <w:sz w:val="28"/>
          <w:lang w:val="ru-RU"/>
        </w:rPr>
        <w:t>1</w:t>
      </w:r>
      <w:r w:rsidRPr="00D7673F">
        <w:rPr>
          <w:sz w:val="28"/>
        </w:rPr>
        <w:t>,</w:t>
      </w:r>
      <w:r w:rsidRPr="00D7673F">
        <w:rPr>
          <w:sz w:val="28"/>
          <w:lang w:val="ru-RU"/>
        </w:rPr>
        <w:t>1</w:t>
      </w:r>
      <w:r w:rsidRPr="00D7673F">
        <w:rPr>
          <w:sz w:val="28"/>
        </w:rPr>
        <w:t xml:space="preserve"> в.п. більше, ніж у 20</w:t>
      </w:r>
      <w:r w:rsidRPr="00D7673F">
        <w:rPr>
          <w:sz w:val="28"/>
          <w:lang w:val="ru-RU"/>
        </w:rPr>
        <w:t>20</w:t>
      </w:r>
      <w:r w:rsidRPr="00D7673F">
        <w:rPr>
          <w:sz w:val="28"/>
        </w:rPr>
        <w:t>р. Традиційно вагомим для цієї групи домогосподарств було таке джерело ресурсів, як доходи від особистого підсобного господарства, які формували 16% усіх їх надходжень</w:t>
      </w:r>
      <w:r w:rsidRPr="00D7673F">
        <w:rPr>
          <w:sz w:val="28"/>
          <w:lang w:val="ru-RU"/>
        </w:rPr>
        <w:t xml:space="preserve">, як і в </w:t>
      </w:r>
      <w:proofErr w:type="spellStart"/>
      <w:r w:rsidRPr="00D7673F">
        <w:rPr>
          <w:sz w:val="28"/>
          <w:lang w:val="ru-RU"/>
        </w:rPr>
        <w:t>попередньому</w:t>
      </w:r>
      <w:proofErr w:type="spellEnd"/>
      <w:r w:rsidRPr="00D7673F">
        <w:rPr>
          <w:sz w:val="28"/>
          <w:lang w:val="ru-RU"/>
        </w:rPr>
        <w:t xml:space="preserve"> </w:t>
      </w:r>
      <w:proofErr w:type="spellStart"/>
      <w:r w:rsidRPr="00D7673F">
        <w:rPr>
          <w:sz w:val="28"/>
          <w:lang w:val="ru-RU"/>
        </w:rPr>
        <w:t>періоді</w:t>
      </w:r>
      <w:proofErr w:type="spellEnd"/>
      <w:r w:rsidRPr="00D7673F">
        <w:rPr>
          <w:sz w:val="28"/>
        </w:rPr>
        <w:t>. Суттєвим джерелом ресурсів продовжували залишатися пенсії, стипендії та соціальні допомоги, надані готівкою, частка яких зменшилась на 0,9 в.п. і становила п'яту частину.</w:t>
      </w:r>
    </w:p>
    <w:p w14:paraId="53008FF2" w14:textId="022C4A66" w:rsidR="00BF677C" w:rsidRPr="00D7673F" w:rsidRDefault="00BF677C" w:rsidP="00BF677C">
      <w:pPr>
        <w:pStyle w:val="a4"/>
        <w:ind w:firstLine="567"/>
        <w:jc w:val="both"/>
        <w:rPr>
          <w:sz w:val="28"/>
        </w:rPr>
      </w:pPr>
      <w:r w:rsidRPr="00D7673F">
        <w:rPr>
          <w:sz w:val="28"/>
        </w:rPr>
        <w:t>У домогосподарствах з дітьми, як і в 2020р. – 76% ресурсів формували доходи від зайнятості, 10% – пенсії, стипендії, соціальні допомоги (готівкові та безготівкові),</w:t>
      </w:r>
      <w:r w:rsidRPr="00D7673F">
        <w:t xml:space="preserve"> </w:t>
      </w:r>
      <w:r w:rsidRPr="00D7673F">
        <w:rPr>
          <w:sz w:val="28"/>
        </w:rPr>
        <w:t>частка яких порівняно з 2020р.</w:t>
      </w:r>
      <w:r w:rsidR="00347568" w:rsidRPr="00D7673F">
        <w:rPr>
          <w:sz w:val="28"/>
        </w:rPr>
        <w:t xml:space="preserve"> також</w:t>
      </w:r>
      <w:r w:rsidRPr="00D7673F">
        <w:rPr>
          <w:sz w:val="28"/>
        </w:rPr>
        <w:t xml:space="preserve"> не змінилася. Частка доходів від особистого підсобного господарства та від самозаготівель у цій групі домогосподарств збільшилася на 0,3 в.п. і складала 5% ресурсів. </w:t>
      </w:r>
    </w:p>
    <w:p w14:paraId="579F276B" w14:textId="68799D08" w:rsidR="00BF677C" w:rsidRPr="00D7673F" w:rsidRDefault="00BF677C" w:rsidP="00BF677C">
      <w:pPr>
        <w:pStyle w:val="a4"/>
        <w:ind w:firstLine="567"/>
        <w:jc w:val="both"/>
        <w:rPr>
          <w:sz w:val="28"/>
        </w:rPr>
      </w:pPr>
      <w:r w:rsidRPr="00D7673F">
        <w:rPr>
          <w:sz w:val="28"/>
        </w:rPr>
        <w:t>Основним джерелом надходження сукупних ресурсів у домогосподарствах з однією дитиною були доходи від зайнятості (77%), а в домогосподарствах із трьома і більше дітьми частка цих надходжень була в 1,</w:t>
      </w:r>
      <w:r w:rsidRPr="00D7673F">
        <w:rPr>
          <w:sz w:val="28"/>
          <w:lang w:val="ru-RU"/>
        </w:rPr>
        <w:t>4</w:t>
      </w:r>
      <w:r w:rsidRPr="00D7673F">
        <w:rPr>
          <w:sz w:val="28"/>
        </w:rPr>
        <w:t xml:space="preserve"> раза нижчою. Доходи від особистого підсобного господарства та від самозаготівель в багатодітних домогосподарствах складали 14%, пенсії, стипендії та соціальні допомоги (готівкові та безготівкові) –  п’яту частину усіх ресурсів.</w:t>
      </w:r>
    </w:p>
    <w:p w14:paraId="0FB816A1" w14:textId="64620BD1" w:rsidR="00BF677C" w:rsidRPr="00D7673F" w:rsidRDefault="00BF677C" w:rsidP="00BF677C">
      <w:pPr>
        <w:pStyle w:val="a4"/>
        <w:ind w:firstLine="567"/>
        <w:jc w:val="both"/>
        <w:rPr>
          <w:sz w:val="28"/>
        </w:rPr>
      </w:pPr>
      <w:r w:rsidRPr="00D7673F">
        <w:rPr>
          <w:sz w:val="28"/>
        </w:rPr>
        <w:t xml:space="preserve">У домогосподарствах без дітей частка доходів від зайнятості становила 56% ресурсів (порівняно з 2020р. збільшилася на 2 в.п.), пенсії, стипендії та соціальні допомоги (готівкові та безготівкові) – 30% (зменшилася на 1,3 в.п.), доходи від особистого підсобного господарства та від самозаготівель – 6% (зменшилася на </w:t>
      </w:r>
      <w:r w:rsidR="006E6023">
        <w:rPr>
          <w:sz w:val="28"/>
        </w:rPr>
        <w:br/>
      </w:r>
      <w:r w:rsidRPr="00D7673F">
        <w:rPr>
          <w:sz w:val="28"/>
        </w:rPr>
        <w:t>0,2 в.п.).</w:t>
      </w:r>
    </w:p>
    <w:p w14:paraId="2448E167" w14:textId="77777777" w:rsidR="00BF677C" w:rsidRPr="00D7673F" w:rsidRDefault="00BF677C" w:rsidP="00BF677C">
      <w:pPr>
        <w:pStyle w:val="a4"/>
        <w:ind w:firstLine="567"/>
        <w:jc w:val="both"/>
        <w:rPr>
          <w:sz w:val="28"/>
        </w:rPr>
      </w:pPr>
      <w:bookmarkStart w:id="0" w:name="_Hlk81910691"/>
      <w:r w:rsidRPr="00D7673F">
        <w:rPr>
          <w:sz w:val="28"/>
        </w:rPr>
        <w:t xml:space="preserve">У домогосподарствах, у складі яких були молоді сім’ї, </w:t>
      </w:r>
      <w:r w:rsidRPr="00D7673F">
        <w:rPr>
          <w:sz w:val="28"/>
          <w:lang w:val="ru-RU"/>
        </w:rPr>
        <w:t>як і у 2020р. –</w:t>
      </w:r>
      <w:r w:rsidRPr="00D7673F">
        <w:t xml:space="preserve"> </w:t>
      </w:r>
      <w:r w:rsidRPr="00D7673F">
        <w:rPr>
          <w:sz w:val="28"/>
          <w:lang w:val="ru-RU"/>
        </w:rPr>
        <w:t>79% ресурсів</w:t>
      </w:r>
      <w:r w:rsidRPr="00D7673F">
        <w:rPr>
          <w:sz w:val="28"/>
        </w:rPr>
        <w:t xml:space="preserve"> формували доходи від зайнятості. Пенсії, стипендії, соціальні допомоги (готівкові та безготівкові) у цій групі залишилися на рівні попереднього періоду і склали 8%, доходи від особистого підсобного господарства становили 5% (у 2020р. – 4%). </w:t>
      </w:r>
    </w:p>
    <w:p w14:paraId="1AFBE7C4" w14:textId="4BF74259" w:rsidR="00BF677C" w:rsidRPr="00D7673F" w:rsidRDefault="00BF677C" w:rsidP="00BF677C">
      <w:pPr>
        <w:pStyle w:val="a4"/>
        <w:tabs>
          <w:tab w:val="left" w:pos="5529"/>
          <w:tab w:val="left" w:pos="6096"/>
          <w:tab w:val="left" w:pos="6237"/>
          <w:tab w:val="left" w:pos="6804"/>
        </w:tabs>
        <w:ind w:firstLine="567"/>
        <w:jc w:val="both"/>
        <w:rPr>
          <w:sz w:val="28"/>
          <w:szCs w:val="28"/>
          <w:lang w:val="ru-RU"/>
        </w:rPr>
      </w:pPr>
      <w:r w:rsidRPr="00D7673F">
        <w:rPr>
          <w:b/>
          <w:sz w:val="28"/>
          <w:szCs w:val="28"/>
        </w:rPr>
        <w:t>Середньомісячні сукупні витрати</w:t>
      </w:r>
      <w:r w:rsidRPr="00D7673F">
        <w:rPr>
          <w:sz w:val="28"/>
          <w:szCs w:val="28"/>
        </w:rPr>
        <w:t xml:space="preserve"> (далі – витрати) одного домогосподарства становили 11243 грн, міського – </w:t>
      </w:r>
      <w:r w:rsidRPr="00D7673F">
        <w:rPr>
          <w:sz w:val="28"/>
          <w:szCs w:val="28"/>
          <w:lang w:val="ru-RU"/>
        </w:rPr>
        <w:t>11565</w:t>
      </w:r>
      <w:r w:rsidR="00884B1E" w:rsidRPr="00D7673F">
        <w:rPr>
          <w:sz w:val="28"/>
          <w:szCs w:val="28"/>
          <w:lang w:val="ru-RU"/>
        </w:rPr>
        <w:t xml:space="preserve"> </w:t>
      </w:r>
      <w:r w:rsidRPr="00D7673F">
        <w:rPr>
          <w:sz w:val="28"/>
          <w:szCs w:val="28"/>
        </w:rPr>
        <w:t xml:space="preserve">грн, сільського – 10569 грн. У середньому </w:t>
      </w:r>
      <w:r w:rsidR="009E22EF">
        <w:rPr>
          <w:sz w:val="28"/>
          <w:szCs w:val="28"/>
        </w:rPr>
        <w:br/>
      </w:r>
      <w:r w:rsidRPr="00D7673F">
        <w:rPr>
          <w:sz w:val="28"/>
          <w:szCs w:val="28"/>
        </w:rPr>
        <w:t>на одну особу витрати становили 535</w:t>
      </w:r>
      <w:r w:rsidRPr="00D7673F">
        <w:rPr>
          <w:sz w:val="28"/>
          <w:szCs w:val="28"/>
          <w:lang w:val="ru-RU"/>
        </w:rPr>
        <w:t>4</w:t>
      </w:r>
      <w:r w:rsidRPr="00D7673F">
        <w:rPr>
          <w:sz w:val="28"/>
          <w:szCs w:val="28"/>
        </w:rPr>
        <w:t xml:space="preserve"> грн на місяць, у міських домогосподарствах – </w:t>
      </w:r>
      <w:r w:rsidRPr="00D7673F">
        <w:rPr>
          <w:sz w:val="28"/>
          <w:szCs w:val="28"/>
          <w:lang w:val="ru-RU"/>
        </w:rPr>
        <w:t>5587</w:t>
      </w:r>
      <w:r w:rsidRPr="00D7673F">
        <w:rPr>
          <w:sz w:val="28"/>
          <w:szCs w:val="28"/>
        </w:rPr>
        <w:t xml:space="preserve"> грн, у сільських –</w:t>
      </w:r>
      <w:r w:rsidR="008D3118">
        <w:rPr>
          <w:sz w:val="28"/>
          <w:szCs w:val="28"/>
        </w:rPr>
        <w:t xml:space="preserve"> </w:t>
      </w:r>
      <w:r w:rsidR="00950B8F" w:rsidRPr="008D3118">
        <w:rPr>
          <w:sz w:val="28"/>
          <w:szCs w:val="28"/>
          <w:lang w:val="ru-RU"/>
        </w:rPr>
        <w:t>4870</w:t>
      </w:r>
      <w:r w:rsidRPr="008D3118">
        <w:rPr>
          <w:sz w:val="28"/>
          <w:szCs w:val="28"/>
        </w:rPr>
        <w:t xml:space="preserve"> грн </w:t>
      </w:r>
      <w:r w:rsidRPr="00D7673F">
        <w:rPr>
          <w:sz w:val="28"/>
          <w:szCs w:val="28"/>
        </w:rPr>
        <w:t xml:space="preserve">(додаток </w:t>
      </w:r>
      <w:r w:rsidR="00884B1E" w:rsidRPr="00D7673F">
        <w:rPr>
          <w:sz w:val="28"/>
          <w:szCs w:val="28"/>
          <w:lang w:val="ru-RU"/>
        </w:rPr>
        <w:t>6</w:t>
      </w:r>
      <w:r w:rsidRPr="00D7673F">
        <w:rPr>
          <w:sz w:val="28"/>
          <w:szCs w:val="28"/>
        </w:rPr>
        <w:t>).</w:t>
      </w:r>
    </w:p>
    <w:p w14:paraId="4CF6F849" w14:textId="709BF7BD" w:rsidR="00BF677C" w:rsidRPr="00D7673F" w:rsidRDefault="00BF677C" w:rsidP="00BF677C">
      <w:pPr>
        <w:pStyle w:val="a4"/>
        <w:tabs>
          <w:tab w:val="left" w:pos="5529"/>
          <w:tab w:val="left" w:pos="6096"/>
          <w:tab w:val="left" w:pos="6237"/>
          <w:tab w:val="left" w:pos="6804"/>
        </w:tabs>
        <w:ind w:firstLine="567"/>
        <w:jc w:val="both"/>
        <w:rPr>
          <w:sz w:val="28"/>
          <w:szCs w:val="28"/>
        </w:rPr>
      </w:pPr>
      <w:r w:rsidRPr="00D7673F">
        <w:rPr>
          <w:sz w:val="28"/>
          <w:szCs w:val="28"/>
        </w:rPr>
        <w:t>Серед усіх сукупних витрат 91%</w:t>
      </w:r>
      <w:r w:rsidR="00FF49A8" w:rsidRPr="00D7673F">
        <w:rPr>
          <w:sz w:val="28"/>
          <w:szCs w:val="28"/>
          <w:lang w:val="ru-RU"/>
        </w:rPr>
        <w:t xml:space="preserve">, як і у 2020р., </w:t>
      </w:r>
      <w:r w:rsidRPr="00D7673F">
        <w:rPr>
          <w:sz w:val="28"/>
          <w:szCs w:val="28"/>
        </w:rPr>
        <w:t>становили споживчі витрати домогосподарств.</w:t>
      </w:r>
    </w:p>
    <w:p w14:paraId="399FD732" w14:textId="597F5927" w:rsidR="00BF677C" w:rsidRPr="00D7673F" w:rsidRDefault="00BF677C" w:rsidP="00BF677C">
      <w:pPr>
        <w:pStyle w:val="a4"/>
        <w:tabs>
          <w:tab w:val="left" w:pos="8789"/>
        </w:tabs>
        <w:ind w:firstLine="567"/>
        <w:jc w:val="both"/>
        <w:rPr>
          <w:sz w:val="28"/>
        </w:rPr>
      </w:pPr>
      <w:r w:rsidRPr="00D7673F">
        <w:rPr>
          <w:sz w:val="28"/>
        </w:rPr>
        <w:t xml:space="preserve">На </w:t>
      </w:r>
      <w:r w:rsidRPr="00D7673F">
        <w:rPr>
          <w:b/>
          <w:sz w:val="28"/>
        </w:rPr>
        <w:t>харчування (включаючи харчування поза домом)</w:t>
      </w:r>
      <w:r w:rsidRPr="00D7673F">
        <w:rPr>
          <w:sz w:val="28"/>
        </w:rPr>
        <w:t xml:space="preserve"> домогосподарства витрачали 4</w:t>
      </w:r>
      <w:r w:rsidRPr="00D7673F">
        <w:rPr>
          <w:sz w:val="28"/>
          <w:lang w:val="ru-RU"/>
        </w:rPr>
        <w:t>7</w:t>
      </w:r>
      <w:r w:rsidRPr="00D7673F">
        <w:rPr>
          <w:sz w:val="28"/>
        </w:rPr>
        <w:t xml:space="preserve">% усіх витрат (на </w:t>
      </w:r>
      <w:r w:rsidRPr="00A502B1">
        <w:rPr>
          <w:sz w:val="28"/>
          <w:lang w:val="ru-RU"/>
        </w:rPr>
        <w:t>2</w:t>
      </w:r>
      <w:r w:rsidRPr="00A502B1">
        <w:rPr>
          <w:sz w:val="28"/>
        </w:rPr>
        <w:t xml:space="preserve"> в.п. </w:t>
      </w:r>
      <w:r w:rsidRPr="00A502B1">
        <w:rPr>
          <w:sz w:val="28"/>
          <w:lang w:val="ru-RU"/>
        </w:rPr>
        <w:t>мен</w:t>
      </w:r>
      <w:proofErr w:type="spellStart"/>
      <w:r w:rsidRPr="00A502B1">
        <w:rPr>
          <w:sz w:val="28"/>
        </w:rPr>
        <w:t>ше</w:t>
      </w:r>
      <w:proofErr w:type="spellEnd"/>
      <w:r w:rsidRPr="00A502B1">
        <w:rPr>
          <w:sz w:val="28"/>
        </w:rPr>
        <w:t>, ніж у 20</w:t>
      </w:r>
      <w:r w:rsidRPr="00A502B1">
        <w:rPr>
          <w:sz w:val="28"/>
          <w:lang w:val="ru-RU"/>
        </w:rPr>
        <w:t>20</w:t>
      </w:r>
      <w:r w:rsidRPr="00A502B1">
        <w:rPr>
          <w:sz w:val="28"/>
        </w:rPr>
        <w:t xml:space="preserve">р.). На купівлю непродовольчих товарів та послуг (без витрат на харчування поза домом) домогосподарства направляли </w:t>
      </w:r>
      <w:r w:rsidRPr="00A502B1">
        <w:rPr>
          <w:sz w:val="28"/>
          <w:lang w:val="ru-RU"/>
        </w:rPr>
        <w:t>41</w:t>
      </w:r>
      <w:r w:rsidRPr="00A502B1">
        <w:rPr>
          <w:sz w:val="28"/>
        </w:rPr>
        <w:t xml:space="preserve">% усіх сукупних витрат, що на </w:t>
      </w:r>
      <w:r w:rsidR="00A502B1" w:rsidRPr="00A502B1">
        <w:rPr>
          <w:sz w:val="28"/>
          <w:lang w:val="ru-RU"/>
        </w:rPr>
        <w:t>3</w:t>
      </w:r>
      <w:r w:rsidRPr="00A502B1">
        <w:rPr>
          <w:sz w:val="28"/>
          <w:lang w:val="ru-RU"/>
        </w:rPr>
        <w:t xml:space="preserve"> </w:t>
      </w:r>
      <w:r w:rsidRPr="00A502B1">
        <w:rPr>
          <w:sz w:val="28"/>
        </w:rPr>
        <w:t xml:space="preserve">в.п. </w:t>
      </w:r>
      <w:proofErr w:type="spellStart"/>
      <w:r w:rsidRPr="00D7673F">
        <w:rPr>
          <w:sz w:val="28"/>
          <w:lang w:val="ru-RU"/>
        </w:rPr>
        <w:t>біль</w:t>
      </w:r>
      <w:r w:rsidRPr="00D7673F">
        <w:rPr>
          <w:sz w:val="28"/>
        </w:rPr>
        <w:t>ше</w:t>
      </w:r>
      <w:proofErr w:type="spellEnd"/>
      <w:r w:rsidRPr="00D7673F">
        <w:rPr>
          <w:sz w:val="28"/>
        </w:rPr>
        <w:t>, ніж у попередньому періоді.</w:t>
      </w:r>
    </w:p>
    <w:p w14:paraId="440F685D" w14:textId="0869B120" w:rsidR="00BF677C" w:rsidRPr="00F74105" w:rsidRDefault="00BF677C" w:rsidP="00BF677C">
      <w:pPr>
        <w:pStyle w:val="a4"/>
        <w:ind w:firstLine="567"/>
        <w:jc w:val="both"/>
        <w:rPr>
          <w:sz w:val="28"/>
        </w:rPr>
      </w:pPr>
      <w:r w:rsidRPr="00F74105">
        <w:rPr>
          <w:sz w:val="28"/>
        </w:rPr>
        <w:t xml:space="preserve">Витрати на алкогольні напої та тютюнові вироби становили відповідно 1% та 2% витрат домогосподарств </w:t>
      </w:r>
      <w:r w:rsidRPr="00F74105">
        <w:rPr>
          <w:sz w:val="28"/>
          <w:lang w:val="ru-RU"/>
        </w:rPr>
        <w:t>(</w:t>
      </w:r>
      <w:r w:rsidRPr="00F74105">
        <w:rPr>
          <w:sz w:val="28"/>
        </w:rPr>
        <w:t>у 20</w:t>
      </w:r>
      <w:r w:rsidRPr="00F74105">
        <w:rPr>
          <w:sz w:val="28"/>
          <w:lang w:val="ru-RU"/>
        </w:rPr>
        <w:t>20</w:t>
      </w:r>
      <w:r w:rsidRPr="00F74105">
        <w:rPr>
          <w:sz w:val="28"/>
        </w:rPr>
        <w:t xml:space="preserve">р. </w:t>
      </w:r>
      <w:r w:rsidRPr="00F74105">
        <w:rPr>
          <w:sz w:val="28"/>
          <w:szCs w:val="28"/>
        </w:rPr>
        <w:t>– 1</w:t>
      </w:r>
      <w:r w:rsidR="00F74105" w:rsidRPr="00F74105">
        <w:rPr>
          <w:sz w:val="28"/>
          <w:szCs w:val="28"/>
          <w:lang w:val="ru-RU"/>
        </w:rPr>
        <w:t>,2</w:t>
      </w:r>
      <w:r w:rsidR="00B531DB" w:rsidRPr="00F74105">
        <w:rPr>
          <w:sz w:val="28"/>
          <w:szCs w:val="28"/>
          <w:lang w:val="ru-RU"/>
        </w:rPr>
        <w:t xml:space="preserve">% </w:t>
      </w:r>
      <w:r w:rsidRPr="00F74105">
        <w:rPr>
          <w:sz w:val="28"/>
          <w:szCs w:val="28"/>
        </w:rPr>
        <w:t xml:space="preserve">та </w:t>
      </w:r>
      <w:r w:rsidR="00F74105" w:rsidRPr="00F74105">
        <w:rPr>
          <w:sz w:val="28"/>
          <w:szCs w:val="28"/>
          <w:lang w:val="ru-RU"/>
        </w:rPr>
        <w:t>2</w:t>
      </w:r>
      <w:r w:rsidRPr="00F74105">
        <w:rPr>
          <w:sz w:val="28"/>
          <w:szCs w:val="28"/>
        </w:rPr>
        <w:t>%)</w:t>
      </w:r>
      <w:r w:rsidRPr="00F74105">
        <w:rPr>
          <w:sz w:val="28"/>
        </w:rPr>
        <w:t>.</w:t>
      </w:r>
    </w:p>
    <w:p w14:paraId="1E239167" w14:textId="77777777" w:rsidR="00BF677C" w:rsidRPr="00D7673F" w:rsidRDefault="00BF677C" w:rsidP="00BF677C">
      <w:pPr>
        <w:pStyle w:val="a4"/>
        <w:ind w:firstLine="567"/>
        <w:jc w:val="both"/>
        <w:rPr>
          <w:sz w:val="28"/>
        </w:rPr>
      </w:pPr>
      <w:r w:rsidRPr="00D7673F">
        <w:rPr>
          <w:sz w:val="28"/>
        </w:rPr>
        <w:t xml:space="preserve">Частка витрат, не пов'язаних із споживанням, </w:t>
      </w:r>
      <w:r w:rsidRPr="00D7673F">
        <w:rPr>
          <w:sz w:val="28"/>
          <w:lang w:val="ru-RU"/>
        </w:rPr>
        <w:t xml:space="preserve">як і у </w:t>
      </w:r>
      <w:proofErr w:type="spellStart"/>
      <w:r w:rsidRPr="00D7673F">
        <w:rPr>
          <w:sz w:val="28"/>
          <w:lang w:val="ru-RU"/>
        </w:rPr>
        <w:t>попередньому</w:t>
      </w:r>
      <w:proofErr w:type="spellEnd"/>
      <w:r w:rsidRPr="00D7673F">
        <w:rPr>
          <w:sz w:val="28"/>
          <w:lang w:val="ru-RU"/>
        </w:rPr>
        <w:t xml:space="preserve"> </w:t>
      </w:r>
      <w:proofErr w:type="spellStart"/>
      <w:r w:rsidRPr="00D7673F">
        <w:rPr>
          <w:sz w:val="28"/>
          <w:lang w:val="ru-RU"/>
        </w:rPr>
        <w:t>періоді</w:t>
      </w:r>
      <w:proofErr w:type="spellEnd"/>
      <w:r w:rsidRPr="00D7673F">
        <w:rPr>
          <w:sz w:val="28"/>
          <w:lang w:val="ru-RU"/>
        </w:rPr>
        <w:t xml:space="preserve">, </w:t>
      </w:r>
      <w:r w:rsidRPr="00D7673F">
        <w:rPr>
          <w:sz w:val="28"/>
        </w:rPr>
        <w:t>склала 9% усіх витрат домогосподарств.</w:t>
      </w:r>
    </w:p>
    <w:p w14:paraId="558DD92F" w14:textId="77777777" w:rsidR="00BF677C" w:rsidRPr="00D7673F" w:rsidRDefault="00BF677C" w:rsidP="00BF677C">
      <w:pPr>
        <w:pStyle w:val="a4"/>
        <w:ind w:firstLine="567"/>
        <w:jc w:val="both"/>
        <w:rPr>
          <w:sz w:val="28"/>
        </w:rPr>
      </w:pPr>
    </w:p>
    <w:p w14:paraId="3DD1C5D4" w14:textId="77777777" w:rsidR="00BF677C" w:rsidRPr="00D7673F" w:rsidRDefault="00BF677C" w:rsidP="009E22EF">
      <w:pPr>
        <w:pStyle w:val="a4"/>
        <w:tabs>
          <w:tab w:val="left" w:pos="7200"/>
        </w:tabs>
        <w:ind w:firstLine="709"/>
        <w:jc w:val="both"/>
      </w:pPr>
      <w:r w:rsidRPr="00D7673F">
        <w:rPr>
          <w:noProof/>
          <w:lang w:eastAsia="uk-UA"/>
        </w:rPr>
        <w:drawing>
          <wp:inline distT="0" distB="0" distL="0" distR="0" wp14:anchorId="0F025FF9" wp14:editId="1A318376">
            <wp:extent cx="5591175" cy="2754162"/>
            <wp:effectExtent l="0" t="0" r="0" b="8255"/>
            <wp:docPr id="6" name="Об'єкт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339F231E" w14:textId="77777777" w:rsidR="00BF677C" w:rsidRPr="00D7673F" w:rsidRDefault="00BF677C" w:rsidP="00BF677C">
      <w:pPr>
        <w:pStyle w:val="a4"/>
        <w:tabs>
          <w:tab w:val="left" w:pos="7200"/>
        </w:tabs>
        <w:ind w:firstLine="567"/>
        <w:jc w:val="both"/>
        <w:rPr>
          <w:sz w:val="20"/>
        </w:rPr>
      </w:pPr>
      <w:r w:rsidRPr="00D7673F">
        <w:rPr>
          <w:sz w:val="20"/>
        </w:rPr>
        <w:t>* Включаючи вартість харчування поза домом</w:t>
      </w:r>
      <w:r w:rsidRPr="00D7673F">
        <w:rPr>
          <w:sz w:val="20"/>
        </w:rPr>
        <w:tab/>
      </w:r>
    </w:p>
    <w:p w14:paraId="5CC70D09" w14:textId="77777777" w:rsidR="008567A5" w:rsidRDefault="00BF677C" w:rsidP="008567A5">
      <w:pPr>
        <w:pStyle w:val="a4"/>
        <w:tabs>
          <w:tab w:val="left" w:pos="5910"/>
        </w:tabs>
        <w:ind w:firstLine="567"/>
        <w:jc w:val="both"/>
        <w:rPr>
          <w:sz w:val="22"/>
          <w:szCs w:val="22"/>
        </w:rPr>
      </w:pPr>
      <w:r w:rsidRPr="00D7673F">
        <w:rPr>
          <w:sz w:val="20"/>
        </w:rPr>
        <w:t>**</w:t>
      </w:r>
      <w:r w:rsidRPr="00D7673F">
        <w:rPr>
          <w:sz w:val="20"/>
          <w:vertAlign w:val="superscript"/>
        </w:rPr>
        <w:t xml:space="preserve"> </w:t>
      </w:r>
      <w:r w:rsidRPr="00D7673F">
        <w:rPr>
          <w:sz w:val="20"/>
        </w:rPr>
        <w:t>Без вартості харчування поза домом</w:t>
      </w:r>
      <w:r w:rsidRPr="00D7673F">
        <w:rPr>
          <w:sz w:val="22"/>
          <w:szCs w:val="22"/>
        </w:rPr>
        <w:tab/>
      </w:r>
      <w:bookmarkStart w:id="1" w:name="_Hlk81910779"/>
      <w:bookmarkEnd w:id="0"/>
    </w:p>
    <w:p w14:paraId="0D48A1D8" w14:textId="77777777" w:rsidR="008567A5" w:rsidRPr="008567A5" w:rsidRDefault="008567A5" w:rsidP="008567A5">
      <w:pPr>
        <w:pStyle w:val="a4"/>
        <w:tabs>
          <w:tab w:val="left" w:pos="5910"/>
        </w:tabs>
        <w:ind w:firstLine="567"/>
        <w:jc w:val="both"/>
        <w:rPr>
          <w:sz w:val="28"/>
          <w:szCs w:val="28"/>
        </w:rPr>
      </w:pPr>
    </w:p>
    <w:p w14:paraId="24C87D6A" w14:textId="5B4BFD7E" w:rsidR="00BF677C" w:rsidRPr="008868AB" w:rsidRDefault="00BF677C" w:rsidP="008868AB">
      <w:pPr>
        <w:pStyle w:val="a4"/>
        <w:ind w:firstLine="567"/>
        <w:jc w:val="both"/>
        <w:rPr>
          <w:sz w:val="28"/>
          <w:szCs w:val="28"/>
        </w:rPr>
      </w:pPr>
      <w:r w:rsidRPr="008868AB">
        <w:rPr>
          <w:sz w:val="28"/>
          <w:szCs w:val="28"/>
        </w:rPr>
        <w:t>Вартість харчування у 2021р. у середньому на одну особу становила 83 грн, у 2020р. – 73 грн.</w:t>
      </w:r>
    </w:p>
    <w:p w14:paraId="3A80007C" w14:textId="19F078E6" w:rsidR="00BF677C" w:rsidRDefault="00BF677C" w:rsidP="008868AB">
      <w:pPr>
        <w:pStyle w:val="a4"/>
        <w:ind w:firstLine="567"/>
        <w:jc w:val="both"/>
        <w:rPr>
          <w:sz w:val="28"/>
          <w:szCs w:val="28"/>
        </w:rPr>
      </w:pPr>
      <w:r w:rsidRPr="008868AB">
        <w:rPr>
          <w:sz w:val="28"/>
          <w:szCs w:val="28"/>
        </w:rPr>
        <w:t>В</w:t>
      </w:r>
      <w:r w:rsidRPr="00D7673F">
        <w:rPr>
          <w:sz w:val="28"/>
          <w:szCs w:val="28"/>
        </w:rPr>
        <w:t xml:space="preserve">ідбулися певні зміни в структурі домашнього харчування: зменшилося </w:t>
      </w:r>
      <w:r w:rsidR="00D02318" w:rsidRPr="00D7673F">
        <w:rPr>
          <w:sz w:val="28"/>
          <w:szCs w:val="28"/>
        </w:rPr>
        <w:t xml:space="preserve">порівняно з 2020р. </w:t>
      </w:r>
      <w:r w:rsidRPr="00D7673F">
        <w:rPr>
          <w:sz w:val="28"/>
          <w:szCs w:val="28"/>
        </w:rPr>
        <w:t>споживання олії та інших рослинних жирів</w:t>
      </w:r>
      <w:r w:rsidR="00872F5A" w:rsidRPr="00D7673F">
        <w:rPr>
          <w:sz w:val="28"/>
          <w:szCs w:val="28"/>
        </w:rPr>
        <w:t xml:space="preserve"> </w:t>
      </w:r>
      <w:r w:rsidRPr="00D7673F">
        <w:rPr>
          <w:sz w:val="28"/>
          <w:szCs w:val="28"/>
        </w:rPr>
        <w:t>–  на 7%, хліба та хлібопродуктів – на 5%, цукру</w:t>
      </w:r>
      <w:r w:rsidR="00872F5A" w:rsidRPr="00D7673F">
        <w:rPr>
          <w:sz w:val="28"/>
          <w:szCs w:val="28"/>
        </w:rPr>
        <w:t xml:space="preserve"> </w:t>
      </w:r>
      <w:r w:rsidRPr="00D7673F">
        <w:rPr>
          <w:sz w:val="28"/>
          <w:szCs w:val="28"/>
        </w:rPr>
        <w:t xml:space="preserve">– на 4%, картоплі – на 3%, овочів і баштанних та м’яса і м’ясопродуктів </w:t>
      </w:r>
      <w:r w:rsidR="00872F5A" w:rsidRPr="00D7673F">
        <w:rPr>
          <w:sz w:val="28"/>
          <w:szCs w:val="28"/>
        </w:rPr>
        <w:t xml:space="preserve">– </w:t>
      </w:r>
      <w:r w:rsidRPr="00D7673F">
        <w:rPr>
          <w:sz w:val="28"/>
          <w:szCs w:val="28"/>
        </w:rPr>
        <w:t xml:space="preserve">на 2% кожного, молока і молочних продуктів – на 0,5%. </w:t>
      </w:r>
      <w:r w:rsidRPr="008868AB">
        <w:rPr>
          <w:sz w:val="28"/>
          <w:szCs w:val="28"/>
        </w:rPr>
        <w:t>З</w:t>
      </w:r>
      <w:r w:rsidRPr="00D7673F">
        <w:rPr>
          <w:sz w:val="28"/>
          <w:szCs w:val="28"/>
        </w:rPr>
        <w:t xml:space="preserve">більшилось </w:t>
      </w:r>
      <w:r w:rsidR="00872F5A" w:rsidRPr="00D7673F">
        <w:rPr>
          <w:sz w:val="28"/>
          <w:szCs w:val="28"/>
        </w:rPr>
        <w:t xml:space="preserve">на 5% </w:t>
      </w:r>
      <w:r w:rsidRPr="00D7673F">
        <w:rPr>
          <w:sz w:val="28"/>
          <w:szCs w:val="28"/>
        </w:rPr>
        <w:t>споживання фруктів, ягід, горіхів, винограду</w:t>
      </w:r>
      <w:r w:rsidR="00872F5A" w:rsidRPr="008868AB">
        <w:rPr>
          <w:sz w:val="28"/>
          <w:szCs w:val="28"/>
        </w:rPr>
        <w:t xml:space="preserve">, </w:t>
      </w:r>
      <w:r w:rsidRPr="008868AB">
        <w:rPr>
          <w:sz w:val="28"/>
          <w:szCs w:val="28"/>
        </w:rPr>
        <w:t xml:space="preserve">а споживання </w:t>
      </w:r>
      <w:r w:rsidRPr="00D7673F">
        <w:rPr>
          <w:sz w:val="28"/>
          <w:szCs w:val="28"/>
        </w:rPr>
        <w:t>риби та рибопродуктів</w:t>
      </w:r>
      <w:r w:rsidR="00872F5A" w:rsidRPr="008868AB">
        <w:rPr>
          <w:sz w:val="28"/>
          <w:szCs w:val="28"/>
        </w:rPr>
        <w:t xml:space="preserve"> і</w:t>
      </w:r>
      <w:r w:rsidRPr="00D7673F">
        <w:rPr>
          <w:sz w:val="28"/>
          <w:szCs w:val="28"/>
        </w:rPr>
        <w:t xml:space="preserve"> яєць залишилося на рівні 2020р.</w:t>
      </w:r>
      <w:r w:rsidRPr="008868AB">
        <w:rPr>
          <w:sz w:val="28"/>
          <w:szCs w:val="28"/>
        </w:rPr>
        <w:t xml:space="preserve"> </w:t>
      </w:r>
      <w:r w:rsidRPr="00D7673F">
        <w:rPr>
          <w:sz w:val="28"/>
          <w:szCs w:val="28"/>
        </w:rPr>
        <w:t xml:space="preserve">(додаток </w:t>
      </w:r>
      <w:r w:rsidR="00884B1E" w:rsidRPr="008868AB">
        <w:rPr>
          <w:sz w:val="28"/>
          <w:szCs w:val="28"/>
        </w:rPr>
        <w:t>7</w:t>
      </w:r>
      <w:r w:rsidRPr="00D7673F">
        <w:rPr>
          <w:sz w:val="28"/>
          <w:szCs w:val="28"/>
        </w:rPr>
        <w:t>).</w:t>
      </w:r>
    </w:p>
    <w:p w14:paraId="433DB79B" w14:textId="77777777" w:rsidR="008868AB" w:rsidRPr="00D7673F" w:rsidRDefault="008868AB" w:rsidP="00BF677C">
      <w:pPr>
        <w:pStyle w:val="a4"/>
        <w:spacing w:line="216" w:lineRule="auto"/>
        <w:ind w:firstLine="567"/>
        <w:jc w:val="both"/>
        <w:rPr>
          <w:sz w:val="28"/>
          <w:szCs w:val="28"/>
        </w:rPr>
      </w:pPr>
    </w:p>
    <w:p w14:paraId="5B9F58A1" w14:textId="77777777" w:rsidR="00BF677C" w:rsidRPr="006C7B11" w:rsidRDefault="00BF677C" w:rsidP="00BF677C">
      <w:pPr>
        <w:pStyle w:val="a4"/>
        <w:ind w:firstLine="567"/>
        <w:jc w:val="both"/>
        <w:rPr>
          <w:sz w:val="16"/>
          <w:szCs w:val="16"/>
          <w:highlight w:val="green"/>
        </w:rPr>
      </w:pPr>
      <w:r w:rsidRPr="006C7B11">
        <w:rPr>
          <w:noProof/>
          <w:sz w:val="16"/>
          <w:szCs w:val="16"/>
          <w:highlight w:val="green"/>
          <w:lang w:eastAsia="uk-UA"/>
        </w:rPr>
        <w:drawing>
          <wp:inline distT="0" distB="0" distL="0" distR="0" wp14:anchorId="5559D323" wp14:editId="6B9E8254">
            <wp:extent cx="6077585" cy="3209027"/>
            <wp:effectExtent l="0" t="0" r="0" b="0"/>
            <wp:docPr id="5" name="Об'єкт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0B18128D" w14:textId="77777777" w:rsidR="00BF677C" w:rsidRPr="006C7B11" w:rsidRDefault="00BF677C" w:rsidP="00BF677C">
      <w:pPr>
        <w:tabs>
          <w:tab w:val="left" w:pos="4536"/>
        </w:tabs>
        <w:rPr>
          <w:noProof/>
          <w:sz w:val="16"/>
          <w:szCs w:val="16"/>
          <w:highlight w:val="green"/>
          <w:lang w:eastAsia="uk-UA"/>
        </w:rPr>
      </w:pPr>
    </w:p>
    <w:p w14:paraId="358C5A94" w14:textId="77777777" w:rsidR="00BF677C" w:rsidRPr="00D7673F" w:rsidRDefault="00BF677C" w:rsidP="00BF677C">
      <w:pPr>
        <w:tabs>
          <w:tab w:val="left" w:pos="4536"/>
        </w:tabs>
        <w:rPr>
          <w:b/>
          <w:i/>
          <w:lang w:val="ru-RU"/>
        </w:rPr>
      </w:pPr>
      <w:r w:rsidRPr="00D7673F">
        <w:t>* Включаючи цукор, використаний на виготовлення кондитерських виробів, та мед</w:t>
      </w:r>
    </w:p>
    <w:bookmarkEnd w:id="1"/>
    <w:p w14:paraId="647BB1CF" w14:textId="77777777" w:rsidR="00BF677C" w:rsidRPr="00D7673F" w:rsidRDefault="00BF677C" w:rsidP="00BF677C">
      <w:pPr>
        <w:pStyle w:val="a4"/>
        <w:ind w:firstLine="567"/>
        <w:jc w:val="both"/>
        <w:rPr>
          <w:sz w:val="28"/>
          <w:szCs w:val="28"/>
        </w:rPr>
      </w:pPr>
    </w:p>
    <w:p w14:paraId="78614E6D" w14:textId="69EBEC28" w:rsidR="00BF677C" w:rsidRPr="00D7673F" w:rsidRDefault="00BF677C" w:rsidP="00BF677C">
      <w:pPr>
        <w:pStyle w:val="a4"/>
        <w:ind w:firstLine="567"/>
        <w:jc w:val="both"/>
        <w:rPr>
          <w:spacing w:val="4"/>
          <w:sz w:val="28"/>
          <w:szCs w:val="28"/>
        </w:rPr>
      </w:pPr>
      <w:r w:rsidRPr="00D7673F">
        <w:rPr>
          <w:sz w:val="28"/>
          <w:szCs w:val="28"/>
        </w:rPr>
        <w:t xml:space="preserve">Калорійність цих продуктів харчування, спожитих однією особою в домогосподарстві, становила </w:t>
      </w:r>
      <w:r w:rsidRPr="00D7673F">
        <w:rPr>
          <w:spacing w:val="4"/>
          <w:sz w:val="28"/>
          <w:szCs w:val="28"/>
        </w:rPr>
        <w:t>2779 ккал, вміст білків у цих продуктах становив 82 г, жирів – 1</w:t>
      </w:r>
      <w:r w:rsidRPr="00D7673F">
        <w:rPr>
          <w:spacing w:val="4"/>
          <w:sz w:val="28"/>
          <w:szCs w:val="28"/>
          <w:lang w:val="ru-RU"/>
        </w:rPr>
        <w:t>28</w:t>
      </w:r>
      <w:r w:rsidRPr="00D7673F">
        <w:rPr>
          <w:spacing w:val="4"/>
          <w:sz w:val="28"/>
          <w:szCs w:val="28"/>
        </w:rPr>
        <w:t xml:space="preserve"> г, вуглеводів – 3</w:t>
      </w:r>
      <w:r w:rsidRPr="00D7673F">
        <w:rPr>
          <w:spacing w:val="4"/>
          <w:sz w:val="28"/>
          <w:szCs w:val="28"/>
          <w:lang w:val="ru-RU"/>
        </w:rPr>
        <w:t>31</w:t>
      </w:r>
      <w:r w:rsidRPr="00D7673F">
        <w:rPr>
          <w:spacing w:val="4"/>
          <w:sz w:val="28"/>
          <w:szCs w:val="28"/>
        </w:rPr>
        <w:t xml:space="preserve"> г. Порівняно з 20</w:t>
      </w:r>
      <w:r w:rsidRPr="00D7673F">
        <w:rPr>
          <w:spacing w:val="4"/>
          <w:sz w:val="28"/>
          <w:szCs w:val="28"/>
          <w:lang w:val="ru-RU"/>
        </w:rPr>
        <w:t>20</w:t>
      </w:r>
      <w:r w:rsidRPr="00D7673F">
        <w:rPr>
          <w:spacing w:val="4"/>
          <w:sz w:val="28"/>
          <w:szCs w:val="28"/>
        </w:rPr>
        <w:t>р. ці показники не зазнали суттєвих змін</w:t>
      </w:r>
      <w:r w:rsidRPr="00D7673F">
        <w:rPr>
          <w:spacing w:val="4"/>
          <w:sz w:val="28"/>
          <w:szCs w:val="28"/>
          <w:lang w:val="ru-RU"/>
        </w:rPr>
        <w:t xml:space="preserve"> </w:t>
      </w:r>
      <w:r w:rsidRPr="00D7673F">
        <w:rPr>
          <w:spacing w:val="4"/>
          <w:sz w:val="28"/>
          <w:szCs w:val="28"/>
        </w:rPr>
        <w:t xml:space="preserve">(додаток </w:t>
      </w:r>
      <w:r w:rsidR="00884B1E" w:rsidRPr="00D7673F">
        <w:rPr>
          <w:spacing w:val="4"/>
          <w:sz w:val="28"/>
          <w:szCs w:val="28"/>
          <w:lang w:val="ru-RU"/>
        </w:rPr>
        <w:t>8</w:t>
      </w:r>
      <w:r w:rsidRPr="00D7673F">
        <w:rPr>
          <w:spacing w:val="4"/>
          <w:sz w:val="28"/>
          <w:szCs w:val="28"/>
        </w:rPr>
        <w:t>).</w:t>
      </w:r>
    </w:p>
    <w:p w14:paraId="480AB1F2" w14:textId="37C9C50B" w:rsidR="00BF677C" w:rsidRPr="008B2BFF" w:rsidRDefault="00BF677C" w:rsidP="00BF677C">
      <w:pPr>
        <w:ind w:firstLine="567"/>
        <w:jc w:val="both"/>
        <w:rPr>
          <w:strike/>
          <w:spacing w:val="4"/>
          <w:sz w:val="28"/>
          <w:szCs w:val="28"/>
          <w:highlight w:val="green"/>
          <w:lang w:val="ru-RU"/>
        </w:rPr>
      </w:pPr>
      <w:bookmarkStart w:id="2" w:name="_Hlk112409237"/>
      <w:r w:rsidRPr="00D7673F">
        <w:rPr>
          <w:spacing w:val="4"/>
          <w:sz w:val="28"/>
          <w:szCs w:val="28"/>
        </w:rPr>
        <w:t>За результатами опитування домогосподарств щодо самооцінки рівня їх доходів, проведеного у січні 202</w:t>
      </w:r>
      <w:r w:rsidRPr="00D7673F">
        <w:rPr>
          <w:spacing w:val="4"/>
          <w:sz w:val="28"/>
          <w:szCs w:val="28"/>
          <w:lang w:val="ru-RU"/>
        </w:rPr>
        <w:t>2</w:t>
      </w:r>
      <w:r w:rsidRPr="00D7673F">
        <w:rPr>
          <w:spacing w:val="4"/>
          <w:sz w:val="28"/>
          <w:szCs w:val="28"/>
        </w:rPr>
        <w:t>р., 3,</w:t>
      </w:r>
      <w:r w:rsidRPr="00D7673F">
        <w:rPr>
          <w:spacing w:val="4"/>
          <w:sz w:val="28"/>
          <w:szCs w:val="28"/>
          <w:lang w:val="ru-RU"/>
        </w:rPr>
        <w:t>3</w:t>
      </w:r>
      <w:r w:rsidRPr="00D7673F">
        <w:rPr>
          <w:spacing w:val="4"/>
          <w:sz w:val="28"/>
          <w:szCs w:val="28"/>
        </w:rPr>
        <w:t xml:space="preserve">% домогосподарств повідомили, що рівень їх </w:t>
      </w:r>
      <w:r w:rsidRPr="00E54946">
        <w:rPr>
          <w:spacing w:val="4"/>
          <w:sz w:val="28"/>
          <w:szCs w:val="28"/>
        </w:rPr>
        <w:t>доходу не дозволив забезпечити навіть достатнє харчування (у січні 202</w:t>
      </w:r>
      <w:r w:rsidRPr="00E54946">
        <w:rPr>
          <w:spacing w:val="4"/>
          <w:sz w:val="28"/>
          <w:szCs w:val="28"/>
          <w:lang w:val="ru-RU"/>
        </w:rPr>
        <w:t>1</w:t>
      </w:r>
      <w:r w:rsidRPr="00E54946">
        <w:rPr>
          <w:spacing w:val="4"/>
          <w:sz w:val="28"/>
          <w:szCs w:val="28"/>
        </w:rPr>
        <w:t>р.</w:t>
      </w:r>
      <w:r w:rsidRPr="00E54946">
        <w:rPr>
          <w:sz w:val="28"/>
          <w:szCs w:val="28"/>
        </w:rPr>
        <w:t xml:space="preserve"> – </w:t>
      </w:r>
      <w:r w:rsidRPr="00E54946">
        <w:rPr>
          <w:sz w:val="28"/>
          <w:szCs w:val="28"/>
          <w:lang w:val="ru-RU"/>
        </w:rPr>
        <w:t>3</w:t>
      </w:r>
      <w:r w:rsidRPr="00E54946">
        <w:rPr>
          <w:spacing w:val="4"/>
          <w:sz w:val="28"/>
          <w:szCs w:val="28"/>
        </w:rPr>
        <w:t>,</w:t>
      </w:r>
      <w:r w:rsidRPr="00E54946">
        <w:rPr>
          <w:spacing w:val="4"/>
          <w:sz w:val="28"/>
          <w:szCs w:val="28"/>
          <w:lang w:val="ru-RU"/>
        </w:rPr>
        <w:t>2</w:t>
      </w:r>
      <w:r w:rsidRPr="00E54946">
        <w:rPr>
          <w:spacing w:val="4"/>
          <w:sz w:val="28"/>
          <w:szCs w:val="28"/>
        </w:rPr>
        <w:t>%). Серед багатодітних домогосподарств частка та</w:t>
      </w:r>
      <w:r w:rsidR="00E54946" w:rsidRPr="00E54946">
        <w:rPr>
          <w:spacing w:val="4"/>
          <w:sz w:val="28"/>
          <w:szCs w:val="28"/>
        </w:rPr>
        <w:t>ких домогосподарств склала 10% (4</w:t>
      </w:r>
      <w:r w:rsidRPr="00E54946">
        <w:rPr>
          <w:spacing w:val="4"/>
          <w:sz w:val="28"/>
          <w:szCs w:val="28"/>
        </w:rPr>
        <w:t>%).</w:t>
      </w:r>
      <w:r w:rsidRPr="00E54946">
        <w:rPr>
          <w:strike/>
          <w:spacing w:val="4"/>
          <w:sz w:val="28"/>
          <w:szCs w:val="28"/>
        </w:rPr>
        <w:t xml:space="preserve"> </w:t>
      </w:r>
    </w:p>
    <w:bookmarkEnd w:id="2"/>
    <w:p w14:paraId="5D595E9D" w14:textId="286E648F" w:rsidR="00BF677C" w:rsidRPr="007D1E95" w:rsidRDefault="00BF677C" w:rsidP="00BF677C">
      <w:pPr>
        <w:ind w:firstLine="567"/>
        <w:jc w:val="both"/>
        <w:rPr>
          <w:spacing w:val="4"/>
          <w:sz w:val="28"/>
          <w:szCs w:val="28"/>
        </w:rPr>
      </w:pPr>
      <w:r w:rsidRPr="007D1E95">
        <w:rPr>
          <w:spacing w:val="4"/>
          <w:sz w:val="28"/>
          <w:szCs w:val="28"/>
        </w:rPr>
        <w:t>Сільські домогосподарства традиційно направляли на харчування більшу частину сукупних витрат, ніж міські (відповідно 5</w:t>
      </w:r>
      <w:r w:rsidRPr="007D1E95">
        <w:rPr>
          <w:spacing w:val="4"/>
          <w:sz w:val="28"/>
          <w:szCs w:val="28"/>
          <w:lang w:val="ru-RU"/>
        </w:rPr>
        <w:t>0</w:t>
      </w:r>
      <w:r w:rsidRPr="007D1E95">
        <w:rPr>
          <w:spacing w:val="4"/>
          <w:sz w:val="28"/>
          <w:szCs w:val="28"/>
        </w:rPr>
        <w:t>% проти 4</w:t>
      </w:r>
      <w:r w:rsidRPr="007D1E95">
        <w:rPr>
          <w:spacing w:val="4"/>
          <w:sz w:val="28"/>
          <w:szCs w:val="28"/>
          <w:lang w:val="ru-RU"/>
        </w:rPr>
        <w:t>6</w:t>
      </w:r>
      <w:r w:rsidRPr="007D1E95">
        <w:rPr>
          <w:spacing w:val="4"/>
          <w:sz w:val="28"/>
          <w:szCs w:val="28"/>
        </w:rPr>
        <w:t xml:space="preserve">%). При </w:t>
      </w:r>
      <w:r w:rsidR="006E6023">
        <w:rPr>
          <w:spacing w:val="4"/>
          <w:sz w:val="28"/>
          <w:szCs w:val="28"/>
        </w:rPr>
        <w:br/>
      </w:r>
      <w:r w:rsidRPr="007D1E95">
        <w:rPr>
          <w:spacing w:val="4"/>
          <w:sz w:val="28"/>
          <w:szCs w:val="28"/>
        </w:rPr>
        <w:t>цьому сільські жителі споживали більше: картоплі – в 1,6 раза, хліба та хлібних продуктів – в 1,3 раза,</w:t>
      </w:r>
      <w:r w:rsidRPr="007D1E95">
        <w:rPr>
          <w:sz w:val="28"/>
          <w:szCs w:val="28"/>
        </w:rPr>
        <w:t xml:space="preserve"> </w:t>
      </w:r>
      <w:r w:rsidRPr="007D1E95">
        <w:rPr>
          <w:spacing w:val="4"/>
          <w:sz w:val="28"/>
          <w:szCs w:val="28"/>
        </w:rPr>
        <w:t xml:space="preserve">цукру – на 24%, </w:t>
      </w:r>
      <w:r w:rsidRPr="007D1E95">
        <w:rPr>
          <w:sz w:val="28"/>
          <w:szCs w:val="28"/>
        </w:rPr>
        <w:t>олії та інших рослинних жирів – на 17%,</w:t>
      </w:r>
      <w:r w:rsidRPr="007D1E95">
        <w:rPr>
          <w:spacing w:val="4"/>
          <w:sz w:val="28"/>
          <w:szCs w:val="28"/>
        </w:rPr>
        <w:t xml:space="preserve"> овочів і баштанних – на 8%,  риби і рибопродуктів як сільські так і міські домогосподарства споживали однаково. Калорійність добового раціону одного сільського жителя (3</w:t>
      </w:r>
      <w:r w:rsidRPr="007D1E95">
        <w:rPr>
          <w:spacing w:val="4"/>
          <w:sz w:val="28"/>
          <w:szCs w:val="28"/>
          <w:lang w:val="ru-RU"/>
        </w:rPr>
        <w:t>019</w:t>
      </w:r>
      <w:r w:rsidRPr="007D1E95">
        <w:rPr>
          <w:spacing w:val="4"/>
          <w:sz w:val="28"/>
          <w:szCs w:val="28"/>
        </w:rPr>
        <w:t xml:space="preserve"> ккал) була на 1</w:t>
      </w:r>
      <w:r w:rsidRPr="007D1E95">
        <w:rPr>
          <w:spacing w:val="4"/>
          <w:sz w:val="28"/>
          <w:szCs w:val="28"/>
          <w:lang w:val="ru-RU"/>
        </w:rPr>
        <w:t>4</w:t>
      </w:r>
      <w:r w:rsidRPr="007D1E95">
        <w:rPr>
          <w:spacing w:val="4"/>
          <w:sz w:val="28"/>
          <w:szCs w:val="28"/>
        </w:rPr>
        <w:t>% вища, ніж міського, а вартість харчування (</w:t>
      </w:r>
      <w:r w:rsidRPr="007D1E95">
        <w:rPr>
          <w:spacing w:val="4"/>
          <w:sz w:val="28"/>
          <w:szCs w:val="28"/>
          <w:lang w:val="ru-RU"/>
        </w:rPr>
        <w:t>80</w:t>
      </w:r>
      <w:r w:rsidRPr="007D1E95">
        <w:rPr>
          <w:spacing w:val="4"/>
          <w:sz w:val="28"/>
          <w:szCs w:val="28"/>
        </w:rPr>
        <w:t xml:space="preserve"> грн) на </w:t>
      </w:r>
      <w:r w:rsidRPr="007D1E95">
        <w:rPr>
          <w:spacing w:val="4"/>
          <w:sz w:val="28"/>
          <w:szCs w:val="28"/>
          <w:lang w:val="ru-RU"/>
        </w:rPr>
        <w:t>5</w:t>
      </w:r>
      <w:r w:rsidRPr="007D1E95">
        <w:rPr>
          <w:spacing w:val="4"/>
          <w:sz w:val="28"/>
          <w:szCs w:val="28"/>
        </w:rPr>
        <w:t>% менша.</w:t>
      </w:r>
    </w:p>
    <w:p w14:paraId="4749D91F" w14:textId="77777777" w:rsidR="00BF677C" w:rsidRPr="00F74105" w:rsidRDefault="00BF677C" w:rsidP="00BF677C">
      <w:pPr>
        <w:pStyle w:val="a4"/>
        <w:ind w:firstLine="567"/>
        <w:jc w:val="both"/>
        <w:rPr>
          <w:spacing w:val="4"/>
          <w:sz w:val="28"/>
          <w:szCs w:val="28"/>
        </w:rPr>
      </w:pPr>
      <w:r w:rsidRPr="007D1E95">
        <w:rPr>
          <w:spacing w:val="4"/>
          <w:sz w:val="28"/>
          <w:szCs w:val="28"/>
        </w:rPr>
        <w:t xml:space="preserve">Домогосподарства з дітьми до 18 років та домогосподарства без дітей направляли на харчування </w:t>
      </w:r>
      <w:r w:rsidRPr="007D1E95">
        <w:rPr>
          <w:spacing w:val="4"/>
          <w:sz w:val="28"/>
          <w:szCs w:val="28"/>
          <w:lang w:val="ru-RU"/>
        </w:rPr>
        <w:t>(47%)</w:t>
      </w:r>
      <w:r w:rsidRPr="007D1E95">
        <w:rPr>
          <w:spacing w:val="4"/>
          <w:sz w:val="28"/>
          <w:szCs w:val="28"/>
        </w:rPr>
        <w:t xml:space="preserve"> всіх сукупних витрат, але вартість (77 грн) та калорійність (24</w:t>
      </w:r>
      <w:r w:rsidRPr="007D1E95">
        <w:rPr>
          <w:spacing w:val="4"/>
          <w:sz w:val="28"/>
          <w:szCs w:val="28"/>
          <w:lang w:val="ru-RU"/>
        </w:rPr>
        <w:t>12</w:t>
      </w:r>
      <w:r w:rsidRPr="007D1E95">
        <w:rPr>
          <w:spacing w:val="4"/>
          <w:sz w:val="28"/>
          <w:szCs w:val="28"/>
        </w:rPr>
        <w:t xml:space="preserve"> ккал) продуктів, спожитих за добу однією особою, у </w:t>
      </w:r>
      <w:r w:rsidRPr="00F74105">
        <w:rPr>
          <w:spacing w:val="4"/>
          <w:sz w:val="28"/>
          <w:szCs w:val="28"/>
        </w:rPr>
        <w:t>домогосподарствах з дітьми до 18 років були менші, ніж у домогосподарствах без дітей – в 1,2 раза та 1,3 раза відповідно.</w:t>
      </w:r>
    </w:p>
    <w:p w14:paraId="5863DD59" w14:textId="544EF748" w:rsidR="004200FD" w:rsidRDefault="009E22EF" w:rsidP="004200FD">
      <w:pPr>
        <w:pStyle w:val="a4"/>
        <w:spacing w:line="350" w:lineRule="exact"/>
        <w:ind w:firstLine="0"/>
        <w:jc w:val="both"/>
        <w:rPr>
          <w:spacing w:val="4"/>
          <w:sz w:val="28"/>
          <w:szCs w:val="28"/>
          <w:highlight w:val="green"/>
        </w:rPr>
      </w:pPr>
      <w:r w:rsidRPr="006C7B11">
        <w:rPr>
          <w:noProof/>
          <w:spacing w:val="4"/>
          <w:sz w:val="28"/>
          <w:szCs w:val="28"/>
          <w:highlight w:val="green"/>
          <w:lang w:eastAsia="uk-UA"/>
        </w:rPr>
        <w:drawing>
          <wp:anchor distT="0" distB="0" distL="114300" distR="114300" simplePos="0" relativeHeight="251659264" behindDoc="0" locked="0" layoutInCell="1" allowOverlap="1" wp14:anchorId="650AB44B" wp14:editId="2A80F228">
            <wp:simplePos x="0" y="0"/>
            <wp:positionH relativeFrom="column">
              <wp:posOffset>145415</wp:posOffset>
            </wp:positionH>
            <wp:positionV relativeFrom="paragraph">
              <wp:posOffset>119380</wp:posOffset>
            </wp:positionV>
            <wp:extent cx="6116129" cy="3392150"/>
            <wp:effectExtent l="0" t="0" r="0" b="0"/>
            <wp:wrapNone/>
            <wp:docPr id="10" name="Об'є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3C0EA7" w14:textId="2785D527" w:rsidR="00BF677C" w:rsidRPr="006C7B11" w:rsidRDefault="00BF677C" w:rsidP="004200FD">
      <w:pPr>
        <w:pStyle w:val="a4"/>
        <w:spacing w:line="350" w:lineRule="exact"/>
        <w:ind w:firstLine="0"/>
        <w:jc w:val="both"/>
        <w:rPr>
          <w:spacing w:val="4"/>
          <w:sz w:val="28"/>
          <w:szCs w:val="28"/>
          <w:highlight w:val="green"/>
        </w:rPr>
      </w:pPr>
    </w:p>
    <w:p w14:paraId="530ACF78" w14:textId="4A17675D" w:rsidR="00BF677C" w:rsidRPr="006C7B11" w:rsidRDefault="00BF677C" w:rsidP="00BF677C">
      <w:pPr>
        <w:pStyle w:val="a4"/>
        <w:spacing w:line="350" w:lineRule="exact"/>
        <w:jc w:val="both"/>
        <w:rPr>
          <w:spacing w:val="4"/>
          <w:sz w:val="28"/>
          <w:szCs w:val="28"/>
          <w:highlight w:val="green"/>
        </w:rPr>
      </w:pPr>
    </w:p>
    <w:p w14:paraId="60C60E47" w14:textId="77777777" w:rsidR="00BF677C" w:rsidRPr="006C7B11" w:rsidRDefault="00BF677C" w:rsidP="00BF677C">
      <w:pPr>
        <w:pStyle w:val="a4"/>
        <w:spacing w:line="350" w:lineRule="exact"/>
        <w:jc w:val="both"/>
        <w:rPr>
          <w:spacing w:val="4"/>
          <w:sz w:val="28"/>
          <w:szCs w:val="28"/>
          <w:highlight w:val="green"/>
        </w:rPr>
      </w:pPr>
    </w:p>
    <w:p w14:paraId="291E91E9" w14:textId="77777777" w:rsidR="00BF677C" w:rsidRPr="006C7B11" w:rsidRDefault="00BF677C" w:rsidP="00BF677C">
      <w:pPr>
        <w:pStyle w:val="a4"/>
        <w:spacing w:line="350" w:lineRule="exact"/>
        <w:jc w:val="both"/>
        <w:rPr>
          <w:spacing w:val="4"/>
          <w:sz w:val="28"/>
          <w:szCs w:val="28"/>
          <w:highlight w:val="green"/>
        </w:rPr>
      </w:pPr>
    </w:p>
    <w:p w14:paraId="14D06280" w14:textId="77777777" w:rsidR="00BF677C" w:rsidRPr="006C7B11" w:rsidRDefault="00BF677C" w:rsidP="00BF677C">
      <w:pPr>
        <w:pStyle w:val="a4"/>
        <w:spacing w:line="350" w:lineRule="exact"/>
        <w:jc w:val="both"/>
        <w:rPr>
          <w:spacing w:val="4"/>
          <w:sz w:val="28"/>
          <w:szCs w:val="28"/>
          <w:highlight w:val="green"/>
        </w:rPr>
      </w:pPr>
    </w:p>
    <w:p w14:paraId="195F8D96" w14:textId="77777777" w:rsidR="00BF677C" w:rsidRPr="006C7B11" w:rsidRDefault="00BF677C" w:rsidP="00BF677C">
      <w:pPr>
        <w:pStyle w:val="a4"/>
        <w:spacing w:line="350" w:lineRule="exact"/>
        <w:jc w:val="both"/>
        <w:rPr>
          <w:sz w:val="22"/>
          <w:szCs w:val="22"/>
          <w:highlight w:val="green"/>
        </w:rPr>
      </w:pPr>
    </w:p>
    <w:p w14:paraId="01C7791B" w14:textId="77777777" w:rsidR="00BF677C" w:rsidRPr="006C7B11" w:rsidRDefault="00BF677C" w:rsidP="00BF677C">
      <w:pPr>
        <w:pStyle w:val="a4"/>
        <w:spacing w:line="350" w:lineRule="exact"/>
        <w:jc w:val="both"/>
        <w:rPr>
          <w:sz w:val="22"/>
          <w:szCs w:val="22"/>
          <w:highlight w:val="green"/>
        </w:rPr>
      </w:pPr>
    </w:p>
    <w:p w14:paraId="5C7DAA78" w14:textId="77777777" w:rsidR="00BF677C" w:rsidRPr="006C7B11" w:rsidRDefault="00BF677C" w:rsidP="00BF677C">
      <w:pPr>
        <w:pStyle w:val="a4"/>
        <w:spacing w:line="350" w:lineRule="exact"/>
        <w:jc w:val="both"/>
        <w:rPr>
          <w:sz w:val="22"/>
          <w:szCs w:val="22"/>
          <w:highlight w:val="green"/>
        </w:rPr>
      </w:pPr>
    </w:p>
    <w:p w14:paraId="5C019722" w14:textId="77777777" w:rsidR="00BF677C" w:rsidRPr="006C7B11" w:rsidRDefault="00BF677C" w:rsidP="00BF677C">
      <w:pPr>
        <w:pStyle w:val="a4"/>
        <w:spacing w:line="350" w:lineRule="exact"/>
        <w:jc w:val="both"/>
        <w:rPr>
          <w:sz w:val="22"/>
          <w:szCs w:val="22"/>
          <w:highlight w:val="green"/>
        </w:rPr>
      </w:pPr>
    </w:p>
    <w:p w14:paraId="440FE684" w14:textId="77777777" w:rsidR="00BF677C" w:rsidRPr="006C7B11" w:rsidRDefault="00BF677C" w:rsidP="00BF677C">
      <w:pPr>
        <w:pStyle w:val="a4"/>
        <w:spacing w:line="350" w:lineRule="exact"/>
        <w:jc w:val="both"/>
        <w:rPr>
          <w:spacing w:val="4"/>
          <w:sz w:val="28"/>
          <w:szCs w:val="28"/>
          <w:highlight w:val="green"/>
        </w:rPr>
      </w:pPr>
    </w:p>
    <w:p w14:paraId="310B36C3" w14:textId="77777777" w:rsidR="00BF677C" w:rsidRPr="006C7B11" w:rsidRDefault="00BF677C" w:rsidP="00BF677C">
      <w:pPr>
        <w:pStyle w:val="a4"/>
        <w:spacing w:line="350" w:lineRule="exact"/>
        <w:jc w:val="both"/>
        <w:rPr>
          <w:spacing w:val="4"/>
          <w:sz w:val="28"/>
          <w:szCs w:val="28"/>
          <w:highlight w:val="green"/>
        </w:rPr>
      </w:pPr>
    </w:p>
    <w:p w14:paraId="1640A465" w14:textId="77777777" w:rsidR="00BF677C" w:rsidRPr="006C7B11" w:rsidRDefault="00BF677C" w:rsidP="00BF677C">
      <w:pPr>
        <w:pStyle w:val="a4"/>
        <w:spacing w:line="350" w:lineRule="exact"/>
        <w:ind w:firstLine="0"/>
        <w:rPr>
          <w:sz w:val="20"/>
          <w:highlight w:val="green"/>
        </w:rPr>
      </w:pPr>
    </w:p>
    <w:p w14:paraId="5EB4EBB3" w14:textId="77777777" w:rsidR="004200FD" w:rsidRDefault="004200FD" w:rsidP="00BF677C">
      <w:pPr>
        <w:pStyle w:val="a4"/>
        <w:spacing w:line="350" w:lineRule="exact"/>
        <w:ind w:firstLine="0"/>
        <w:rPr>
          <w:sz w:val="20"/>
          <w:highlight w:val="green"/>
        </w:rPr>
      </w:pPr>
    </w:p>
    <w:p w14:paraId="227C695A" w14:textId="77777777" w:rsidR="004200FD" w:rsidRDefault="004200FD" w:rsidP="00BF677C">
      <w:pPr>
        <w:pStyle w:val="a4"/>
        <w:spacing w:line="350" w:lineRule="exact"/>
        <w:ind w:firstLine="0"/>
        <w:rPr>
          <w:sz w:val="20"/>
          <w:highlight w:val="green"/>
        </w:rPr>
      </w:pPr>
    </w:p>
    <w:p w14:paraId="1D966BE1" w14:textId="77777777" w:rsidR="004200FD" w:rsidRDefault="004200FD" w:rsidP="00BF677C">
      <w:pPr>
        <w:pStyle w:val="a4"/>
        <w:spacing w:line="350" w:lineRule="exact"/>
        <w:ind w:firstLine="0"/>
        <w:rPr>
          <w:sz w:val="20"/>
          <w:highlight w:val="green"/>
        </w:rPr>
      </w:pPr>
    </w:p>
    <w:p w14:paraId="48EF6A18" w14:textId="19E26702" w:rsidR="00BF677C" w:rsidRPr="007D1E95" w:rsidRDefault="00BF677C" w:rsidP="00BF677C">
      <w:pPr>
        <w:pStyle w:val="a4"/>
        <w:spacing w:line="350" w:lineRule="exact"/>
        <w:ind w:firstLine="0"/>
        <w:rPr>
          <w:sz w:val="20"/>
        </w:rPr>
      </w:pPr>
      <w:r w:rsidRPr="007D1E95">
        <w:rPr>
          <w:sz w:val="20"/>
        </w:rPr>
        <w:t>*Включаючи цукор, використаний на виготовлення кондитерських виробів, та мед.</w:t>
      </w:r>
    </w:p>
    <w:p w14:paraId="23C5E56D" w14:textId="77777777" w:rsidR="00BF677C" w:rsidRPr="007D1E95" w:rsidRDefault="00BF677C" w:rsidP="00BF677C">
      <w:pPr>
        <w:pStyle w:val="a4"/>
        <w:ind w:firstLine="567"/>
        <w:jc w:val="both"/>
        <w:rPr>
          <w:spacing w:val="4"/>
          <w:sz w:val="28"/>
          <w:szCs w:val="28"/>
        </w:rPr>
      </w:pPr>
    </w:p>
    <w:p w14:paraId="79FF3DBE" w14:textId="410B9170" w:rsidR="00BF677C" w:rsidRPr="007D1E95" w:rsidRDefault="00BF677C" w:rsidP="00BF677C">
      <w:pPr>
        <w:pStyle w:val="a4"/>
        <w:ind w:firstLine="567"/>
        <w:jc w:val="both"/>
        <w:rPr>
          <w:spacing w:val="4"/>
          <w:sz w:val="28"/>
          <w:szCs w:val="28"/>
        </w:rPr>
      </w:pPr>
      <w:r w:rsidRPr="007D1E95">
        <w:rPr>
          <w:spacing w:val="4"/>
          <w:sz w:val="28"/>
          <w:szCs w:val="28"/>
        </w:rPr>
        <w:t xml:space="preserve">У домогосподарствах з дітьми </w:t>
      </w:r>
      <w:r w:rsidRPr="007D1E95">
        <w:rPr>
          <w:spacing w:val="4"/>
          <w:sz w:val="28"/>
          <w:szCs w:val="28"/>
          <w:lang w:val="ru-RU"/>
        </w:rPr>
        <w:t xml:space="preserve">у 2021р. </w:t>
      </w:r>
      <w:proofErr w:type="spellStart"/>
      <w:proofErr w:type="gramStart"/>
      <w:r w:rsidRPr="007D1E95">
        <w:rPr>
          <w:spacing w:val="4"/>
          <w:sz w:val="28"/>
          <w:szCs w:val="28"/>
          <w:lang w:val="ru-RU"/>
        </w:rPr>
        <w:t>порівняно</w:t>
      </w:r>
      <w:proofErr w:type="spellEnd"/>
      <w:proofErr w:type="gramEnd"/>
      <w:r w:rsidRPr="007D1E95">
        <w:rPr>
          <w:spacing w:val="4"/>
          <w:sz w:val="28"/>
          <w:szCs w:val="28"/>
          <w:lang w:val="ru-RU"/>
        </w:rPr>
        <w:t xml:space="preserve"> з 2020р. </w:t>
      </w:r>
      <w:r w:rsidRPr="007D1E95">
        <w:rPr>
          <w:spacing w:val="4"/>
          <w:sz w:val="28"/>
          <w:szCs w:val="28"/>
        </w:rPr>
        <w:t xml:space="preserve">скоротилося споживання цукру – на 9%, олії та інших рослинних жирів – на 8%,  яєць – на </w:t>
      </w:r>
      <w:r w:rsidR="005A60C7" w:rsidRPr="007D1E95">
        <w:rPr>
          <w:spacing w:val="4"/>
          <w:sz w:val="28"/>
          <w:szCs w:val="28"/>
          <w:lang w:val="ru-RU"/>
        </w:rPr>
        <w:t>5</w:t>
      </w:r>
      <w:r w:rsidRPr="007D1E95">
        <w:rPr>
          <w:spacing w:val="4"/>
          <w:sz w:val="28"/>
          <w:szCs w:val="28"/>
        </w:rPr>
        <w:t>%</w:t>
      </w:r>
      <w:r w:rsidRPr="007D1E95">
        <w:rPr>
          <w:spacing w:val="4"/>
          <w:sz w:val="28"/>
          <w:szCs w:val="28"/>
          <w:lang w:val="ru-RU"/>
        </w:rPr>
        <w:t xml:space="preserve">, </w:t>
      </w:r>
      <w:proofErr w:type="spellStart"/>
      <w:r w:rsidRPr="007D1E95">
        <w:rPr>
          <w:spacing w:val="4"/>
          <w:sz w:val="28"/>
          <w:szCs w:val="28"/>
          <w:lang w:val="ru-RU"/>
        </w:rPr>
        <w:t>хліба</w:t>
      </w:r>
      <w:proofErr w:type="spellEnd"/>
      <w:r w:rsidRPr="007D1E95">
        <w:rPr>
          <w:spacing w:val="4"/>
          <w:sz w:val="28"/>
          <w:szCs w:val="28"/>
          <w:lang w:val="ru-RU"/>
        </w:rPr>
        <w:t xml:space="preserve"> і </w:t>
      </w:r>
      <w:proofErr w:type="spellStart"/>
      <w:r w:rsidRPr="007D1E95">
        <w:rPr>
          <w:spacing w:val="4"/>
          <w:sz w:val="28"/>
          <w:szCs w:val="28"/>
          <w:lang w:val="ru-RU"/>
        </w:rPr>
        <w:t>хлібопродуктів</w:t>
      </w:r>
      <w:proofErr w:type="spellEnd"/>
      <w:r w:rsidRPr="007D1E95">
        <w:rPr>
          <w:spacing w:val="4"/>
          <w:sz w:val="28"/>
          <w:szCs w:val="28"/>
          <w:lang w:val="ru-RU"/>
        </w:rPr>
        <w:t xml:space="preserve"> та </w:t>
      </w:r>
      <w:r w:rsidRPr="007D1E95">
        <w:rPr>
          <w:spacing w:val="4"/>
          <w:sz w:val="28"/>
          <w:szCs w:val="28"/>
        </w:rPr>
        <w:t>картоплі – на 4%</w:t>
      </w:r>
      <w:r w:rsidRPr="007D1E95">
        <w:rPr>
          <w:spacing w:val="4"/>
          <w:sz w:val="28"/>
          <w:szCs w:val="28"/>
          <w:lang w:val="ru-RU"/>
        </w:rPr>
        <w:t xml:space="preserve"> кожного</w:t>
      </w:r>
      <w:r w:rsidRPr="007D1E95">
        <w:rPr>
          <w:spacing w:val="4"/>
          <w:sz w:val="28"/>
          <w:szCs w:val="28"/>
        </w:rPr>
        <w:t>, овочів і баштанних – на 1,4%, молока і молочних продуктів – на 1,2%. Збільшилося порівняно з 2020р. споживання риби і рибопродуктів та  фруктів, ягід, горіхів, винограду – на 9%</w:t>
      </w:r>
      <w:r w:rsidRPr="007D1E95">
        <w:rPr>
          <w:spacing w:val="4"/>
          <w:sz w:val="28"/>
          <w:szCs w:val="28"/>
          <w:lang w:val="ru-RU"/>
        </w:rPr>
        <w:t xml:space="preserve"> кожного</w:t>
      </w:r>
      <w:r w:rsidRPr="007D1E95">
        <w:rPr>
          <w:spacing w:val="4"/>
          <w:sz w:val="28"/>
          <w:szCs w:val="28"/>
        </w:rPr>
        <w:t xml:space="preserve">. Залишилося на рівні 2020р. споживання м’яса і м’ясопродуктів. </w:t>
      </w:r>
    </w:p>
    <w:p w14:paraId="4FF0963D" w14:textId="5CC06A1F" w:rsidR="00BF677C" w:rsidRPr="007D1E95" w:rsidRDefault="00BF677C" w:rsidP="00BF677C">
      <w:pPr>
        <w:pStyle w:val="a4"/>
        <w:ind w:firstLine="567"/>
        <w:jc w:val="both"/>
        <w:rPr>
          <w:spacing w:val="4"/>
          <w:sz w:val="28"/>
          <w:szCs w:val="28"/>
        </w:rPr>
      </w:pPr>
      <w:r w:rsidRPr="007D1E95">
        <w:rPr>
          <w:spacing w:val="4"/>
          <w:sz w:val="28"/>
          <w:szCs w:val="28"/>
        </w:rPr>
        <w:t xml:space="preserve">Споживання майже всіх основних продуктів харчування однією особою в багатодітних домогосподарствах було значно нижчим, ніж у домогосподарствах з однією дитиною: олії та інших рослинних жирів, яєць. м’яса і м’ясопродуктів – </w:t>
      </w:r>
      <w:r w:rsidR="009E22EF">
        <w:rPr>
          <w:spacing w:val="4"/>
          <w:sz w:val="28"/>
          <w:szCs w:val="28"/>
        </w:rPr>
        <w:br/>
      </w:r>
      <w:r w:rsidRPr="007D1E95">
        <w:rPr>
          <w:spacing w:val="4"/>
          <w:sz w:val="28"/>
          <w:szCs w:val="28"/>
        </w:rPr>
        <w:t xml:space="preserve">в 1,3 раза кожного, овочів і баштанних – в 1,2 раза, молока і молочних продуктів, картоплі, фруктів, ягід, горіхів, винограду,  хліба і хлібопродуктів та цукру – </w:t>
      </w:r>
      <w:r w:rsidR="009E22EF">
        <w:rPr>
          <w:spacing w:val="4"/>
          <w:sz w:val="28"/>
          <w:szCs w:val="28"/>
        </w:rPr>
        <w:br/>
      </w:r>
      <w:r w:rsidRPr="007D1E95">
        <w:rPr>
          <w:spacing w:val="4"/>
          <w:sz w:val="28"/>
          <w:szCs w:val="28"/>
        </w:rPr>
        <w:t>на 11–5% кожного.</w:t>
      </w:r>
    </w:p>
    <w:p w14:paraId="5BC07182" w14:textId="77777777" w:rsidR="00BF677C" w:rsidRPr="007D1E95" w:rsidRDefault="00BF677C" w:rsidP="00BF677C">
      <w:pPr>
        <w:pStyle w:val="a4"/>
        <w:ind w:firstLine="567"/>
        <w:jc w:val="both"/>
        <w:rPr>
          <w:spacing w:val="4"/>
          <w:sz w:val="28"/>
          <w:szCs w:val="28"/>
        </w:rPr>
      </w:pPr>
      <w:r w:rsidRPr="007D1E95">
        <w:rPr>
          <w:spacing w:val="4"/>
          <w:sz w:val="28"/>
          <w:szCs w:val="28"/>
        </w:rPr>
        <w:t xml:space="preserve">Кількість спожитих основних продуктів харчування однією особою в домогосподарствах без дітей була в 1,4–1,1 раза більшою, ніж у домогосподарствах з дітьми. </w:t>
      </w:r>
    </w:p>
    <w:p w14:paraId="3100002F" w14:textId="1F9F215B" w:rsidR="00BF677C" w:rsidRDefault="00B54D72" w:rsidP="00BF677C">
      <w:pPr>
        <w:pStyle w:val="a4"/>
        <w:ind w:firstLine="567"/>
        <w:jc w:val="both"/>
        <w:rPr>
          <w:sz w:val="28"/>
          <w:szCs w:val="28"/>
          <w:highlight w:val="yellow"/>
        </w:rPr>
      </w:pPr>
      <w:r w:rsidRPr="007D1E95">
        <w:rPr>
          <w:sz w:val="28"/>
          <w:szCs w:val="28"/>
        </w:rPr>
        <w:t>Підсумки опитування домогосподарств щодо самооцінки рівня своїх доходів засвідчили, що п</w:t>
      </w:r>
      <w:r w:rsidR="00BF677C" w:rsidRPr="007D1E95">
        <w:rPr>
          <w:sz w:val="28"/>
          <w:szCs w:val="28"/>
        </w:rPr>
        <w:t xml:space="preserve">орівняно з січнем 2021р. дещо </w:t>
      </w:r>
      <w:r w:rsidRPr="007D1E95">
        <w:rPr>
          <w:sz w:val="28"/>
          <w:szCs w:val="28"/>
        </w:rPr>
        <w:t>зменшилися</w:t>
      </w:r>
      <w:r w:rsidR="00BF677C" w:rsidRPr="007D1E95">
        <w:rPr>
          <w:sz w:val="28"/>
          <w:szCs w:val="28"/>
        </w:rPr>
        <w:t xml:space="preserve"> частки домогосподарств із дітьми, які через нестачу коштів мали певні проблеми з харчуванням дітей</w:t>
      </w:r>
      <w:r w:rsidRPr="007D1E95">
        <w:rPr>
          <w:sz w:val="28"/>
          <w:szCs w:val="28"/>
        </w:rPr>
        <w:t>:</w:t>
      </w:r>
      <w:r w:rsidR="00BF677C" w:rsidRPr="007D1E95">
        <w:rPr>
          <w:sz w:val="28"/>
          <w:szCs w:val="28"/>
        </w:rPr>
        <w:t xml:space="preserve"> не мали змоги давати дітям фрукти чи соки – 1,7% </w:t>
      </w:r>
      <w:r w:rsidR="00BF677C" w:rsidRPr="007D1E95">
        <w:rPr>
          <w:spacing w:val="4"/>
          <w:sz w:val="28"/>
          <w:szCs w:val="28"/>
        </w:rPr>
        <w:t>(у 2020р. – 2,1%)</w:t>
      </w:r>
      <w:r w:rsidR="00BF677C" w:rsidRPr="007D1E95">
        <w:rPr>
          <w:sz w:val="28"/>
          <w:szCs w:val="28"/>
        </w:rPr>
        <w:t>, їжу або гроші на харчування в школі – 0,6% (1</w:t>
      </w:r>
      <w:bookmarkStart w:id="3" w:name="_Hlk112414159"/>
      <w:r w:rsidR="00BF677C" w:rsidRPr="007D1E95">
        <w:rPr>
          <w:sz w:val="28"/>
          <w:szCs w:val="28"/>
        </w:rPr>
        <w:t xml:space="preserve">%). </w:t>
      </w:r>
      <w:r w:rsidR="00BF677C" w:rsidRPr="004B2E1A">
        <w:rPr>
          <w:sz w:val="28"/>
          <w:szCs w:val="28"/>
        </w:rPr>
        <w:t>Серед багатодітних домогосподарств</w:t>
      </w:r>
      <w:r w:rsidR="00BF677C" w:rsidRPr="004B2E1A">
        <w:rPr>
          <w:sz w:val="28"/>
          <w:szCs w:val="28"/>
          <w:lang w:val="ru-RU"/>
        </w:rPr>
        <w:t xml:space="preserve"> не </w:t>
      </w:r>
      <w:proofErr w:type="spellStart"/>
      <w:r w:rsidR="00BF677C" w:rsidRPr="004B2E1A">
        <w:rPr>
          <w:sz w:val="28"/>
          <w:szCs w:val="28"/>
          <w:lang w:val="ru-RU"/>
        </w:rPr>
        <w:t>мали</w:t>
      </w:r>
      <w:proofErr w:type="spellEnd"/>
      <w:r w:rsidR="00BF677C" w:rsidRPr="004B2E1A">
        <w:rPr>
          <w:sz w:val="28"/>
          <w:szCs w:val="28"/>
          <w:lang w:val="ru-RU"/>
        </w:rPr>
        <w:t xml:space="preserve"> </w:t>
      </w:r>
      <w:proofErr w:type="spellStart"/>
      <w:r w:rsidR="00BF677C" w:rsidRPr="004B2E1A">
        <w:rPr>
          <w:sz w:val="28"/>
          <w:szCs w:val="28"/>
          <w:lang w:val="ru-RU"/>
        </w:rPr>
        <w:t>змоги</w:t>
      </w:r>
      <w:proofErr w:type="spellEnd"/>
      <w:r w:rsidR="00BF677C" w:rsidRPr="004B2E1A">
        <w:rPr>
          <w:sz w:val="28"/>
          <w:szCs w:val="28"/>
        </w:rPr>
        <w:t xml:space="preserve"> давати дітям їжу або гроші на харчування в школі</w:t>
      </w:r>
      <w:r w:rsidR="00662071" w:rsidRPr="004B2E1A">
        <w:rPr>
          <w:sz w:val="28"/>
          <w:szCs w:val="28"/>
        </w:rPr>
        <w:t xml:space="preserve"> – 0,5%,</w:t>
      </w:r>
      <w:r w:rsidR="00BF677C" w:rsidRPr="004B2E1A">
        <w:rPr>
          <w:sz w:val="28"/>
          <w:szCs w:val="28"/>
          <w:lang w:val="ru-RU"/>
        </w:rPr>
        <w:t xml:space="preserve"> </w:t>
      </w:r>
      <w:r w:rsidR="00BF677C" w:rsidRPr="004B2E1A">
        <w:rPr>
          <w:sz w:val="28"/>
          <w:szCs w:val="28"/>
        </w:rPr>
        <w:t>ласо</w:t>
      </w:r>
      <w:r w:rsidR="00BF677C" w:rsidRPr="004B2E1A">
        <w:rPr>
          <w:sz w:val="28"/>
          <w:szCs w:val="28"/>
          <w:lang w:val="ru-RU"/>
        </w:rPr>
        <w:t>щ</w:t>
      </w:r>
      <w:r w:rsidR="00662071" w:rsidRPr="004B2E1A">
        <w:rPr>
          <w:sz w:val="28"/>
          <w:szCs w:val="28"/>
        </w:rPr>
        <w:t xml:space="preserve">і хоча б раз на </w:t>
      </w:r>
      <w:r w:rsidR="004B2E1A">
        <w:rPr>
          <w:sz w:val="28"/>
          <w:szCs w:val="28"/>
        </w:rPr>
        <w:br/>
      </w:r>
      <w:r w:rsidR="00662071" w:rsidRPr="004B2E1A">
        <w:rPr>
          <w:sz w:val="28"/>
          <w:szCs w:val="28"/>
        </w:rPr>
        <w:t>тиждень – 1,3% (у 2021</w:t>
      </w:r>
      <w:r w:rsidR="00BF677C" w:rsidRPr="004B2E1A">
        <w:rPr>
          <w:sz w:val="28"/>
          <w:szCs w:val="28"/>
        </w:rPr>
        <w:t xml:space="preserve">р. – </w:t>
      </w:r>
      <w:r w:rsidR="00BF677C" w:rsidRPr="004B2E1A">
        <w:rPr>
          <w:sz w:val="28"/>
          <w:szCs w:val="28"/>
          <w:lang w:val="ru-RU"/>
        </w:rPr>
        <w:t xml:space="preserve"> </w:t>
      </w:r>
      <w:r w:rsidR="00662071" w:rsidRPr="004B2E1A">
        <w:rPr>
          <w:sz w:val="28"/>
          <w:szCs w:val="28"/>
          <w:lang w:val="ru-RU"/>
        </w:rPr>
        <w:t>по</w:t>
      </w:r>
      <w:r w:rsidR="00BF677C" w:rsidRPr="004B2E1A">
        <w:rPr>
          <w:sz w:val="28"/>
          <w:szCs w:val="28"/>
          <w:lang w:val="ru-RU"/>
        </w:rPr>
        <w:t xml:space="preserve"> 3% в</w:t>
      </w:r>
      <w:proofErr w:type="spellStart"/>
      <w:r w:rsidR="00BF677C" w:rsidRPr="004B2E1A">
        <w:rPr>
          <w:sz w:val="28"/>
          <w:szCs w:val="28"/>
        </w:rPr>
        <w:t>ідповідно</w:t>
      </w:r>
      <w:proofErr w:type="spellEnd"/>
      <w:r w:rsidR="00BF677C" w:rsidRPr="004B2E1A">
        <w:rPr>
          <w:sz w:val="28"/>
          <w:szCs w:val="28"/>
        </w:rPr>
        <w:t>),</w:t>
      </w:r>
      <w:r w:rsidR="004B2E1A" w:rsidRPr="004B2E1A">
        <w:rPr>
          <w:sz w:val="28"/>
          <w:szCs w:val="28"/>
        </w:rPr>
        <w:t xml:space="preserve"> а</w:t>
      </w:r>
      <w:r w:rsidR="00BF677C" w:rsidRPr="004B2E1A">
        <w:rPr>
          <w:sz w:val="28"/>
          <w:szCs w:val="28"/>
        </w:rPr>
        <w:t xml:space="preserve"> про неможливіс</w:t>
      </w:r>
      <w:r w:rsidR="004B2E1A" w:rsidRPr="004B2E1A">
        <w:rPr>
          <w:sz w:val="28"/>
          <w:szCs w:val="28"/>
        </w:rPr>
        <w:t xml:space="preserve">ть давати дітям фрукти чи соки </w:t>
      </w:r>
      <w:r w:rsidR="00BF677C" w:rsidRPr="004B2E1A">
        <w:rPr>
          <w:sz w:val="28"/>
          <w:szCs w:val="28"/>
        </w:rPr>
        <w:t xml:space="preserve"> </w:t>
      </w:r>
      <w:r w:rsidR="004B2E1A" w:rsidRPr="004B2E1A">
        <w:rPr>
          <w:sz w:val="28"/>
          <w:szCs w:val="28"/>
        </w:rPr>
        <w:t>повідомили 9</w:t>
      </w:r>
      <w:r w:rsidR="00BF677C" w:rsidRPr="004B2E1A">
        <w:rPr>
          <w:sz w:val="28"/>
          <w:szCs w:val="28"/>
        </w:rPr>
        <w:t>% домогосподарств</w:t>
      </w:r>
      <w:r w:rsidR="004B2E1A" w:rsidRPr="004B2E1A">
        <w:rPr>
          <w:sz w:val="28"/>
          <w:szCs w:val="28"/>
        </w:rPr>
        <w:t xml:space="preserve"> (4%)</w:t>
      </w:r>
      <w:r w:rsidR="00BF677C" w:rsidRPr="004B2E1A">
        <w:rPr>
          <w:sz w:val="28"/>
          <w:szCs w:val="28"/>
        </w:rPr>
        <w:t>.</w:t>
      </w:r>
    </w:p>
    <w:bookmarkEnd w:id="3"/>
    <w:p w14:paraId="6813CB36" w14:textId="77777777" w:rsidR="00BF677C" w:rsidRPr="00026714" w:rsidRDefault="00BF677C" w:rsidP="00BF677C">
      <w:pPr>
        <w:pStyle w:val="a4"/>
        <w:ind w:firstLine="567"/>
        <w:jc w:val="both"/>
        <w:rPr>
          <w:sz w:val="28"/>
        </w:rPr>
      </w:pPr>
      <w:r w:rsidRPr="00026714">
        <w:rPr>
          <w:sz w:val="28"/>
        </w:rPr>
        <w:t xml:space="preserve">У домогосподарствах, у складі яких є молоді сім’ї, витрати на харчування склали 46% усіх сукупних витрат, що на 0,9 в.п. менше, ніж у середньому по всіх домогосподарствах. Вартість добового раціону однієї особи цієї групи домогосподарств становила 79 грн (у 2020р. – 68 грн), калорійність – 2412 ккал (2405 ккал). </w:t>
      </w:r>
    </w:p>
    <w:p w14:paraId="5A67CE8A" w14:textId="77777777" w:rsidR="00BF677C" w:rsidRPr="008868AB" w:rsidRDefault="00BF677C" w:rsidP="00BF677C">
      <w:pPr>
        <w:pStyle w:val="a4"/>
        <w:ind w:firstLine="567"/>
        <w:jc w:val="both"/>
        <w:rPr>
          <w:sz w:val="28"/>
        </w:rPr>
      </w:pPr>
      <w:r w:rsidRPr="008868AB">
        <w:rPr>
          <w:sz w:val="28"/>
        </w:rPr>
        <w:t>Продовжувала зберігатися диференціація в споживанні продуктів харчування між різними за рівнем добробуту верствами населення. Домогосподарства десятого дециля спрямовували на харчування 37% своїх витрат, що в 1,6 раза менше, ніж у групі домогосподарств першого дециля. Разом з тим вартість добового раціону однієї особи з групи домогосподарств першого дециля становила 57 грн проти 117 грн на одну особу домогосподарств десятого дециля.</w:t>
      </w:r>
    </w:p>
    <w:p w14:paraId="5B6B664A" w14:textId="7A63133B" w:rsidR="00BF677C" w:rsidRPr="007D1E95" w:rsidRDefault="00BF677C" w:rsidP="00BF677C">
      <w:pPr>
        <w:pStyle w:val="a4"/>
        <w:ind w:firstLine="567"/>
        <w:jc w:val="both"/>
        <w:rPr>
          <w:sz w:val="28"/>
        </w:rPr>
      </w:pPr>
      <w:r w:rsidRPr="007D1E95">
        <w:rPr>
          <w:sz w:val="28"/>
        </w:rPr>
        <w:t>Значну роль у забезпеченні населення, особливо сільського, продуктами харчування традиційно продовжували відігравати особисті підсобні господарства. В них було вироблено 5</w:t>
      </w:r>
      <w:r w:rsidRPr="007D1E95">
        <w:rPr>
          <w:sz w:val="28"/>
          <w:lang w:val="ru-RU"/>
        </w:rPr>
        <w:t>1</w:t>
      </w:r>
      <w:r w:rsidRPr="007D1E95">
        <w:rPr>
          <w:sz w:val="28"/>
        </w:rPr>
        <w:t xml:space="preserve">% картоплі, спожитої в домогосподарствах, </w:t>
      </w:r>
      <w:r w:rsidR="00DD39DD" w:rsidRPr="007D1E95">
        <w:rPr>
          <w:sz w:val="28"/>
          <w:lang w:val="ru-RU"/>
        </w:rPr>
        <w:t>27%</w:t>
      </w:r>
      <w:r w:rsidRPr="007D1E95">
        <w:rPr>
          <w:sz w:val="28"/>
        </w:rPr>
        <w:t xml:space="preserve"> яєць, 2</w:t>
      </w:r>
      <w:r w:rsidRPr="007D1E95">
        <w:rPr>
          <w:sz w:val="28"/>
          <w:lang w:val="ru-RU"/>
        </w:rPr>
        <w:t>6</w:t>
      </w:r>
      <w:r w:rsidRPr="007D1E95">
        <w:rPr>
          <w:sz w:val="28"/>
        </w:rPr>
        <w:t>% овочів і баштанних, 1</w:t>
      </w:r>
      <w:r w:rsidRPr="007D1E95">
        <w:rPr>
          <w:sz w:val="28"/>
          <w:lang w:val="ru-RU"/>
        </w:rPr>
        <w:t>1</w:t>
      </w:r>
      <w:r w:rsidRPr="007D1E95">
        <w:rPr>
          <w:sz w:val="28"/>
        </w:rPr>
        <w:t>% фруктів, ягід, горіхів, винограду,</w:t>
      </w:r>
      <w:r w:rsidRPr="007D1E95">
        <w:rPr>
          <w:sz w:val="28"/>
          <w:lang w:val="ru-RU"/>
        </w:rPr>
        <w:t xml:space="preserve"> 9% </w:t>
      </w:r>
      <w:r w:rsidRPr="007D1E95">
        <w:rPr>
          <w:sz w:val="28"/>
        </w:rPr>
        <w:t>м’яса і м’ясопродуктів та</w:t>
      </w:r>
      <w:r w:rsidRPr="007D1E95">
        <w:rPr>
          <w:sz w:val="28"/>
          <w:lang w:val="ru-RU"/>
        </w:rPr>
        <w:t xml:space="preserve"> 8%</w:t>
      </w:r>
      <w:r w:rsidRPr="007D1E95">
        <w:rPr>
          <w:sz w:val="28"/>
        </w:rPr>
        <w:t xml:space="preserve"> молока і молочних продуктів. У сільських домогосподарствах було вироблено відповідно від 9</w:t>
      </w:r>
      <w:r w:rsidRPr="007D1E95">
        <w:rPr>
          <w:sz w:val="28"/>
          <w:lang w:val="ru-RU"/>
        </w:rPr>
        <w:t>1</w:t>
      </w:r>
      <w:r w:rsidRPr="007D1E95">
        <w:rPr>
          <w:sz w:val="28"/>
        </w:rPr>
        <w:t>% до 2</w:t>
      </w:r>
      <w:r w:rsidRPr="007D1E95">
        <w:rPr>
          <w:sz w:val="28"/>
          <w:lang w:val="ru-RU"/>
        </w:rPr>
        <w:t>3</w:t>
      </w:r>
      <w:r w:rsidRPr="007D1E95">
        <w:rPr>
          <w:sz w:val="28"/>
        </w:rPr>
        <w:t xml:space="preserve">% зазначених спожитих продуктів.  </w:t>
      </w:r>
    </w:p>
    <w:p w14:paraId="62853C6E" w14:textId="11C699A5" w:rsidR="00BF677C" w:rsidRPr="007D1E95" w:rsidRDefault="00BF677C" w:rsidP="00BF677C">
      <w:pPr>
        <w:pStyle w:val="a4"/>
        <w:ind w:firstLine="567"/>
        <w:jc w:val="both"/>
        <w:rPr>
          <w:sz w:val="28"/>
        </w:rPr>
      </w:pPr>
      <w:r w:rsidRPr="007D1E95">
        <w:rPr>
          <w:sz w:val="28"/>
        </w:rPr>
        <w:t xml:space="preserve">На </w:t>
      </w:r>
      <w:bookmarkStart w:id="4" w:name="_Hlk51071540"/>
      <w:r w:rsidRPr="008868AB">
        <w:rPr>
          <w:sz w:val="28"/>
        </w:rPr>
        <w:t xml:space="preserve">купівлю </w:t>
      </w:r>
      <w:r w:rsidRPr="008868AB">
        <w:rPr>
          <w:b/>
          <w:sz w:val="28"/>
        </w:rPr>
        <w:t>непродовольчих товарів та послуг</w:t>
      </w:r>
      <w:bookmarkEnd w:id="4"/>
      <w:r w:rsidRPr="008868AB">
        <w:rPr>
          <w:sz w:val="28"/>
        </w:rPr>
        <w:t xml:space="preserve"> </w:t>
      </w:r>
      <w:r w:rsidRPr="007D1E95">
        <w:rPr>
          <w:sz w:val="28"/>
        </w:rPr>
        <w:t xml:space="preserve">(без витрат на харчування поза домом) домогосподарства щомісячно спрямовували </w:t>
      </w:r>
      <w:r w:rsidRPr="008868AB">
        <w:rPr>
          <w:sz w:val="28"/>
        </w:rPr>
        <w:t>41</w:t>
      </w:r>
      <w:r w:rsidRPr="007D1E95">
        <w:rPr>
          <w:sz w:val="28"/>
        </w:rPr>
        <w:t>% сукупних витрат (у 20</w:t>
      </w:r>
      <w:r w:rsidRPr="008868AB">
        <w:rPr>
          <w:sz w:val="28"/>
        </w:rPr>
        <w:t>20</w:t>
      </w:r>
      <w:r w:rsidRPr="007D1E95">
        <w:rPr>
          <w:sz w:val="28"/>
        </w:rPr>
        <w:t xml:space="preserve">р. – </w:t>
      </w:r>
      <w:r w:rsidRPr="008868AB">
        <w:rPr>
          <w:sz w:val="28"/>
        </w:rPr>
        <w:t>39</w:t>
      </w:r>
      <w:r w:rsidRPr="007D1E95">
        <w:rPr>
          <w:sz w:val="28"/>
        </w:rPr>
        <w:t>%)</w:t>
      </w:r>
      <w:r w:rsidRPr="008868AB">
        <w:rPr>
          <w:sz w:val="28"/>
        </w:rPr>
        <w:t>.</w:t>
      </w:r>
      <w:r w:rsidRPr="007D1E95">
        <w:rPr>
          <w:sz w:val="28"/>
        </w:rPr>
        <w:t xml:space="preserve"> Пересічне домогосподарство витрачало на утримання житла (включаючи поточний ремонт), воду, електроенергію, газ, інші види палива  –</w:t>
      </w:r>
      <w:r w:rsidRPr="008868AB">
        <w:rPr>
          <w:sz w:val="28"/>
        </w:rPr>
        <w:t>15</w:t>
      </w:r>
      <w:r w:rsidRPr="007D1E95">
        <w:rPr>
          <w:sz w:val="28"/>
        </w:rPr>
        <w:t>% сукупних витрат, на оновлення гардеробу</w:t>
      </w:r>
      <w:r w:rsidR="0076554B" w:rsidRPr="008868AB">
        <w:rPr>
          <w:sz w:val="28"/>
        </w:rPr>
        <w:t xml:space="preserve">, на </w:t>
      </w:r>
      <w:r w:rsidR="0076554B" w:rsidRPr="007D1E95">
        <w:rPr>
          <w:sz w:val="28"/>
        </w:rPr>
        <w:t>охорону здоров’я</w:t>
      </w:r>
      <w:r w:rsidR="0076554B" w:rsidRPr="008868AB">
        <w:rPr>
          <w:sz w:val="28"/>
        </w:rPr>
        <w:t xml:space="preserve"> та транспорт</w:t>
      </w:r>
      <w:r w:rsidR="0076554B" w:rsidRPr="007D1E95">
        <w:rPr>
          <w:sz w:val="28"/>
        </w:rPr>
        <w:t xml:space="preserve"> </w:t>
      </w:r>
      <w:r w:rsidRPr="007D1E95">
        <w:rPr>
          <w:sz w:val="28"/>
        </w:rPr>
        <w:t>–</w:t>
      </w:r>
      <w:r w:rsidR="0076554B" w:rsidRPr="008868AB">
        <w:rPr>
          <w:sz w:val="28"/>
        </w:rPr>
        <w:t xml:space="preserve"> по</w:t>
      </w:r>
      <w:r w:rsidRPr="007D1E95">
        <w:rPr>
          <w:sz w:val="28"/>
        </w:rPr>
        <w:t xml:space="preserve"> 5%, на інші напрями споживання (на освіту, відпочинок і культуру, на придбання предметів домашнього вжитку, побутової техніки та поточне утримання житла, зв’язок</w:t>
      </w:r>
      <w:r w:rsidRPr="008868AB">
        <w:rPr>
          <w:sz w:val="28"/>
        </w:rPr>
        <w:t xml:space="preserve"> </w:t>
      </w:r>
      <w:r w:rsidRPr="007D1E95">
        <w:rPr>
          <w:sz w:val="28"/>
        </w:rPr>
        <w:t xml:space="preserve">тощо) – від 1% до </w:t>
      </w:r>
      <w:r w:rsidR="0076554B" w:rsidRPr="008868AB">
        <w:rPr>
          <w:sz w:val="28"/>
        </w:rPr>
        <w:t>2</w:t>
      </w:r>
      <w:r w:rsidRPr="007D1E95">
        <w:rPr>
          <w:sz w:val="28"/>
        </w:rPr>
        <w:t xml:space="preserve">% сукупних витрат. </w:t>
      </w:r>
    </w:p>
    <w:p w14:paraId="2C6C26E6" w14:textId="494FB459" w:rsidR="00BF677C" w:rsidRPr="007D1E95" w:rsidRDefault="00BF677C" w:rsidP="00BF677C">
      <w:pPr>
        <w:pStyle w:val="a4"/>
        <w:ind w:firstLine="567"/>
        <w:jc w:val="both"/>
        <w:rPr>
          <w:sz w:val="28"/>
        </w:rPr>
      </w:pPr>
      <w:r w:rsidRPr="007D1E95">
        <w:rPr>
          <w:sz w:val="28"/>
        </w:rPr>
        <w:t>Споживчі витрати на купівлю непродовольчих товарів та послуг міських домогосподарств в 1,</w:t>
      </w:r>
      <w:r w:rsidRPr="007D1E95">
        <w:rPr>
          <w:sz w:val="28"/>
          <w:lang w:val="ru-RU"/>
        </w:rPr>
        <w:t>3</w:t>
      </w:r>
      <w:r w:rsidRPr="007D1E95">
        <w:rPr>
          <w:sz w:val="28"/>
        </w:rPr>
        <w:t xml:space="preserve"> раза перевищували аналогічні витрати в сільських домогосподарствах, зокрема,</w:t>
      </w:r>
      <w:r w:rsidRPr="007D1E95">
        <w:rPr>
          <w:sz w:val="28"/>
          <w:lang w:val="ru-RU"/>
        </w:rPr>
        <w:t xml:space="preserve"> </w:t>
      </w:r>
      <w:r w:rsidRPr="007D1E95">
        <w:rPr>
          <w:sz w:val="28"/>
        </w:rPr>
        <w:t>на освіту, відпочинок і культуру, житло, воду, електроенергію, газ та інші види палива,</w:t>
      </w:r>
      <w:r w:rsidRPr="007D1E95">
        <w:t xml:space="preserve"> </w:t>
      </w:r>
      <w:r w:rsidRPr="007D1E95">
        <w:rPr>
          <w:sz w:val="28"/>
        </w:rPr>
        <w:t>охорону здоров'я (медикаменти та медичні послуги),</w:t>
      </w:r>
      <w:r w:rsidRPr="007D1E95">
        <w:t xml:space="preserve"> </w:t>
      </w:r>
      <w:r w:rsidRPr="007D1E95">
        <w:rPr>
          <w:sz w:val="28"/>
        </w:rPr>
        <w:t xml:space="preserve">предмети домашнього вжитку, побутову техніку, поточне утримання </w:t>
      </w:r>
      <w:r w:rsidR="006E6023">
        <w:rPr>
          <w:sz w:val="28"/>
        </w:rPr>
        <w:br/>
      </w:r>
      <w:r w:rsidRPr="007D1E95">
        <w:rPr>
          <w:sz w:val="28"/>
        </w:rPr>
        <w:t>житла – в 4–1,2 раза, на зв’язок –</w:t>
      </w:r>
      <w:r w:rsidR="00A63AA1" w:rsidRPr="007D1E95">
        <w:rPr>
          <w:sz w:val="28"/>
          <w:lang w:val="ru-RU"/>
        </w:rPr>
        <w:t xml:space="preserve"> на</w:t>
      </w:r>
      <w:r w:rsidRPr="007D1E95">
        <w:rPr>
          <w:sz w:val="28"/>
        </w:rPr>
        <w:t xml:space="preserve"> 12%.</w:t>
      </w:r>
    </w:p>
    <w:p w14:paraId="4C1CFE5A" w14:textId="4337A1FF" w:rsidR="00BF677C" w:rsidRPr="007D1E95" w:rsidRDefault="00BF677C" w:rsidP="00BF677C">
      <w:pPr>
        <w:pStyle w:val="a4"/>
        <w:ind w:firstLine="567"/>
        <w:jc w:val="both"/>
        <w:rPr>
          <w:sz w:val="28"/>
        </w:rPr>
      </w:pPr>
      <w:r w:rsidRPr="007D1E95">
        <w:rPr>
          <w:sz w:val="28"/>
        </w:rPr>
        <w:t>Домогосподарства з дітьми витрачали на купівлю непродовольчих товарів та отримання послуг 4</w:t>
      </w:r>
      <w:r w:rsidRPr="007D1E95">
        <w:rPr>
          <w:sz w:val="28"/>
          <w:lang w:val="ru-RU"/>
        </w:rPr>
        <w:t>3</w:t>
      </w:r>
      <w:r w:rsidRPr="007D1E95">
        <w:rPr>
          <w:sz w:val="28"/>
        </w:rPr>
        <w:t xml:space="preserve">% сукупних витрат, що на 3 в.п. більше, ніж у домогосподарствах без дітей. У середньому на освіту, відпочинок і культуру, оновлення гардеробу, на оплату послуг транспорту, на придбання предметів домашнього вжитку, побутової техніки та поточне утримання житла, </w:t>
      </w:r>
      <w:r w:rsidR="00D0408A" w:rsidRPr="007D1E95">
        <w:rPr>
          <w:sz w:val="28"/>
          <w:lang w:val="ru-RU"/>
        </w:rPr>
        <w:t xml:space="preserve">на </w:t>
      </w:r>
      <w:proofErr w:type="spellStart"/>
      <w:r w:rsidR="00D0408A" w:rsidRPr="007D1E95">
        <w:rPr>
          <w:sz w:val="28"/>
        </w:rPr>
        <w:t>зв’яз</w:t>
      </w:r>
      <w:proofErr w:type="spellEnd"/>
      <w:r w:rsidR="00D0408A" w:rsidRPr="007D1E95">
        <w:rPr>
          <w:sz w:val="28"/>
          <w:lang w:val="ru-RU"/>
        </w:rPr>
        <w:t>о</w:t>
      </w:r>
      <w:r w:rsidR="00D0408A" w:rsidRPr="007D1E95">
        <w:rPr>
          <w:sz w:val="28"/>
        </w:rPr>
        <w:t>к,</w:t>
      </w:r>
      <w:r w:rsidR="00D0408A" w:rsidRPr="007D1E95">
        <w:rPr>
          <w:sz w:val="28"/>
          <w:lang w:val="ru-RU"/>
        </w:rPr>
        <w:t xml:space="preserve"> </w:t>
      </w:r>
      <w:r w:rsidRPr="007D1E95">
        <w:rPr>
          <w:sz w:val="28"/>
        </w:rPr>
        <w:t>на оплату житла (включаючи поточний ремонт), води, електроенергії, газу та інших видів палива</w:t>
      </w:r>
      <w:r w:rsidRPr="007D1E95">
        <w:rPr>
          <w:sz w:val="28"/>
          <w:lang w:val="ru-RU"/>
        </w:rPr>
        <w:t xml:space="preserve"> </w:t>
      </w:r>
      <w:r w:rsidRPr="007D1E95">
        <w:rPr>
          <w:sz w:val="28"/>
        </w:rPr>
        <w:t>домогосподарства з дітьми витрачали в 6</w:t>
      </w:r>
      <w:r w:rsidRPr="007D1E95">
        <w:rPr>
          <w:sz w:val="28"/>
          <w:lang w:val="ru-RU"/>
        </w:rPr>
        <w:t>–</w:t>
      </w:r>
      <w:r w:rsidRPr="007D1E95">
        <w:rPr>
          <w:sz w:val="28"/>
        </w:rPr>
        <w:t>1,3 раза більше коштів, ніж домогосподарства без дітей.</w:t>
      </w:r>
    </w:p>
    <w:p w14:paraId="0F569066" w14:textId="6B1D7C0F" w:rsidR="00BF677C" w:rsidRPr="007D1E95" w:rsidRDefault="00BF677C" w:rsidP="00BF677C">
      <w:pPr>
        <w:pStyle w:val="a4"/>
        <w:ind w:firstLine="567"/>
        <w:jc w:val="both"/>
        <w:rPr>
          <w:sz w:val="28"/>
        </w:rPr>
      </w:pPr>
      <w:r w:rsidRPr="007D1E95">
        <w:rPr>
          <w:sz w:val="28"/>
        </w:rPr>
        <w:t xml:space="preserve">Домогосподарства, у складі яких були молоді сім’ї, витрачали на оновлення гардеробу, створення побутових умов, на освіту, охорону здоров’я, відпочинок та культуру тощо 44% усіх сукупних витрат, що </w:t>
      </w:r>
      <w:r w:rsidRPr="00026714">
        <w:rPr>
          <w:sz w:val="28"/>
        </w:rPr>
        <w:t>на 2 в.п. більше</w:t>
      </w:r>
      <w:r w:rsidRPr="007D1E95">
        <w:rPr>
          <w:sz w:val="28"/>
        </w:rPr>
        <w:t xml:space="preserve">, ніж у пересічних домогосподарствах. Розмір таких споживчих витрат у цій групі перевищував середній по всіх домогосподарствах в 1,3 раза. </w:t>
      </w:r>
    </w:p>
    <w:p w14:paraId="06EE5A65" w14:textId="7514A532" w:rsidR="00BF677C" w:rsidRPr="007D1E95" w:rsidRDefault="00BF677C" w:rsidP="00BF677C">
      <w:pPr>
        <w:pStyle w:val="a9"/>
        <w:tabs>
          <w:tab w:val="left" w:pos="5670"/>
        </w:tabs>
        <w:ind w:firstLine="567"/>
        <w:rPr>
          <w:szCs w:val="28"/>
        </w:rPr>
      </w:pPr>
      <w:r w:rsidRPr="007D1E95">
        <w:rPr>
          <w:szCs w:val="28"/>
        </w:rPr>
        <w:t xml:space="preserve">За даними опитування, проведеного у жовтні 2021р., </w:t>
      </w:r>
      <w:r w:rsidR="004742E9" w:rsidRPr="007D1E95">
        <w:rPr>
          <w:szCs w:val="28"/>
        </w:rPr>
        <w:t>с</w:t>
      </w:r>
      <w:r w:rsidRPr="007D1E95">
        <w:rPr>
          <w:szCs w:val="28"/>
        </w:rPr>
        <w:t xml:space="preserve">еред домогосподарств, у яких хто-небудь із осіб протягом останніх 12 місяців потребував медичної допомоги, придбання ліків та медичного приладдя, </w:t>
      </w:r>
      <w:r w:rsidR="004742E9" w:rsidRPr="007D1E95">
        <w:rPr>
          <w:szCs w:val="28"/>
          <w:lang w:val="ru-RU"/>
        </w:rPr>
        <w:t xml:space="preserve">22% </w:t>
      </w:r>
      <w:r w:rsidRPr="007D1E95">
        <w:rPr>
          <w:szCs w:val="28"/>
        </w:rPr>
        <w:t xml:space="preserve"> повідоми</w:t>
      </w:r>
      <w:r w:rsidR="004742E9" w:rsidRPr="007D1E95">
        <w:rPr>
          <w:szCs w:val="28"/>
          <w:lang w:val="ru-RU"/>
        </w:rPr>
        <w:t>ли</w:t>
      </w:r>
      <w:r w:rsidRPr="007D1E95">
        <w:rPr>
          <w:szCs w:val="28"/>
        </w:rPr>
        <w:t xml:space="preserve"> щодо наявності випадків неможливості задовольнити свої потреби</w:t>
      </w:r>
      <w:r w:rsidR="004742E9" w:rsidRPr="007D1E95">
        <w:rPr>
          <w:szCs w:val="28"/>
        </w:rPr>
        <w:t xml:space="preserve"> (у </w:t>
      </w:r>
      <w:r w:rsidRPr="007D1E95">
        <w:rPr>
          <w:szCs w:val="28"/>
        </w:rPr>
        <w:t xml:space="preserve">2020р. </w:t>
      </w:r>
      <w:r w:rsidR="004742E9" w:rsidRPr="007D1E95">
        <w:rPr>
          <w:szCs w:val="28"/>
          <w:lang w:val="ru-RU"/>
        </w:rPr>
        <w:t xml:space="preserve">таких домогосподарств </w:t>
      </w:r>
      <w:proofErr w:type="spellStart"/>
      <w:r w:rsidR="004742E9" w:rsidRPr="007D1E95">
        <w:rPr>
          <w:szCs w:val="28"/>
          <w:lang w:val="ru-RU"/>
        </w:rPr>
        <w:t>було</w:t>
      </w:r>
      <w:proofErr w:type="spellEnd"/>
      <w:r w:rsidR="004742E9" w:rsidRPr="007D1E95">
        <w:rPr>
          <w:szCs w:val="28"/>
          <w:lang w:val="ru-RU"/>
        </w:rPr>
        <w:t xml:space="preserve"> </w:t>
      </w:r>
      <w:r w:rsidRPr="007D1E95">
        <w:rPr>
          <w:szCs w:val="28"/>
        </w:rPr>
        <w:t>1</w:t>
      </w:r>
      <w:r w:rsidR="004742E9" w:rsidRPr="007D1E95">
        <w:rPr>
          <w:szCs w:val="28"/>
          <w:lang w:val="ru-RU"/>
        </w:rPr>
        <w:t>9</w:t>
      </w:r>
      <w:r w:rsidRPr="007D1E95">
        <w:rPr>
          <w:szCs w:val="28"/>
        </w:rPr>
        <w:t>%</w:t>
      </w:r>
      <w:r w:rsidR="004742E9" w:rsidRPr="007D1E95">
        <w:rPr>
          <w:szCs w:val="28"/>
          <w:lang w:val="ru-RU"/>
        </w:rPr>
        <w:t>)</w:t>
      </w:r>
      <w:r w:rsidRPr="007D1E95">
        <w:rPr>
          <w:szCs w:val="28"/>
        </w:rPr>
        <w:t>.</w:t>
      </w:r>
    </w:p>
    <w:p w14:paraId="010E9728" w14:textId="149F5693" w:rsidR="00BF677C" w:rsidRPr="007D1E95" w:rsidRDefault="00BF677C" w:rsidP="00BF677C">
      <w:pPr>
        <w:ind w:firstLine="708"/>
        <w:jc w:val="both"/>
        <w:rPr>
          <w:sz w:val="28"/>
          <w:szCs w:val="28"/>
        </w:rPr>
      </w:pPr>
      <w:r w:rsidRPr="007D1E95">
        <w:rPr>
          <w:sz w:val="28"/>
          <w:szCs w:val="28"/>
        </w:rPr>
        <w:t>Залишаються проблеми з доступністю послуг лікарів. У 40% домогосподарств, у яких хто-небудь з осіб при потребі не отримав медичну допомогу (</w:t>
      </w:r>
      <w:r w:rsidRPr="007D1E95">
        <w:rPr>
          <w:sz w:val="28"/>
          <w:szCs w:val="28"/>
          <w:lang w:val="ru-RU"/>
        </w:rPr>
        <w:t>9</w:t>
      </w:r>
      <w:r w:rsidRPr="007D1E95">
        <w:rPr>
          <w:sz w:val="28"/>
          <w:szCs w:val="28"/>
        </w:rPr>
        <w:t xml:space="preserve">% усіх домогосподарств), хворі не мали можливості відвідати лікаря (у сільській місцевості таких домогосподарств було 43%). У 67% таких випадків опитувані пояснили це високою вартістю послуг, </w:t>
      </w:r>
      <w:proofErr w:type="spellStart"/>
      <w:r w:rsidR="004742E9" w:rsidRPr="007D1E95">
        <w:rPr>
          <w:sz w:val="28"/>
          <w:szCs w:val="28"/>
          <w:lang w:val="ru-RU"/>
        </w:rPr>
        <w:t>кожне</w:t>
      </w:r>
      <w:proofErr w:type="spellEnd"/>
      <w:r w:rsidR="004742E9" w:rsidRPr="007D1E95">
        <w:rPr>
          <w:sz w:val="28"/>
          <w:szCs w:val="28"/>
          <w:lang w:val="ru-RU"/>
        </w:rPr>
        <w:t xml:space="preserve"> </w:t>
      </w:r>
      <w:proofErr w:type="spellStart"/>
      <w:r w:rsidR="004742E9" w:rsidRPr="007D1E95">
        <w:rPr>
          <w:sz w:val="28"/>
          <w:szCs w:val="28"/>
          <w:lang w:val="ru-RU"/>
        </w:rPr>
        <w:t>п’яте</w:t>
      </w:r>
      <w:proofErr w:type="spellEnd"/>
      <w:r w:rsidRPr="007D1E95">
        <w:rPr>
          <w:sz w:val="28"/>
          <w:szCs w:val="28"/>
        </w:rPr>
        <w:t xml:space="preserve"> – відсутністю медичного спеціаліста потрібного профілю (у сільській місцевості – </w:t>
      </w:r>
      <w:r w:rsidR="004742E9" w:rsidRPr="007D1E95">
        <w:rPr>
          <w:sz w:val="28"/>
          <w:szCs w:val="28"/>
        </w:rPr>
        <w:t>кожне четверте</w:t>
      </w:r>
      <w:r w:rsidRPr="007D1E95">
        <w:rPr>
          <w:sz w:val="28"/>
          <w:szCs w:val="28"/>
        </w:rPr>
        <w:t>) та 13% – занадто довгою чергою.</w:t>
      </w:r>
    </w:p>
    <w:p w14:paraId="27C9916E" w14:textId="2EB0A250" w:rsidR="00BF677C" w:rsidRPr="007D1E95" w:rsidRDefault="00BF677C" w:rsidP="00BF677C">
      <w:pPr>
        <w:pStyle w:val="a9"/>
        <w:tabs>
          <w:tab w:val="left" w:pos="5670"/>
        </w:tabs>
        <w:ind w:firstLine="567"/>
      </w:pPr>
      <w:bookmarkStart w:id="5" w:name="_Hlk81910934"/>
      <w:r w:rsidRPr="007D1E95">
        <w:t xml:space="preserve">У структурі витрат </w:t>
      </w:r>
      <w:r w:rsidRPr="007D1E95">
        <w:rPr>
          <w:b/>
        </w:rPr>
        <w:t>оплата житла, комунальних продуктів та послуг</w:t>
      </w:r>
      <w:r w:rsidRPr="007D1E95">
        <w:t xml:space="preserve"> (з урахуванням суми безготівкових пільг та субсидій) становила 14% або 1551 грн на місяць, серед міських домогосподарств – 15% або 1784 грн, серед сільських – 10% або 1062 грн. Розміри витрат домогосподарств на зазначені цілі збільшилися порівняно з 2020р. в 1,3 раза, як і в сільських домогосподарствах, а в міських – у 1,2 раза.</w:t>
      </w:r>
    </w:p>
    <w:p w14:paraId="7ADCEFC4" w14:textId="36FDD083" w:rsidR="00BF677C" w:rsidRPr="007D1E95" w:rsidRDefault="00BF677C" w:rsidP="00BF677C">
      <w:pPr>
        <w:pStyle w:val="a4"/>
        <w:ind w:firstLine="567"/>
        <w:jc w:val="both"/>
        <w:rPr>
          <w:sz w:val="28"/>
        </w:rPr>
      </w:pPr>
      <w:r w:rsidRPr="007D1E95">
        <w:rPr>
          <w:sz w:val="28"/>
        </w:rPr>
        <w:t>Розмір отриманих пільг та субсидій (готівкових та безготівкових) на оплату житла, комунальних продуктів та послуг у розрахунку на пересічне домогосподарство становив 147 грн у місяць або</w:t>
      </w:r>
      <w:r w:rsidRPr="007D1E95">
        <w:rPr>
          <w:sz w:val="28"/>
          <w:lang w:val="ru-RU"/>
        </w:rPr>
        <w:t xml:space="preserve"> 9</w:t>
      </w:r>
      <w:r w:rsidRPr="007D1E95">
        <w:rPr>
          <w:sz w:val="28"/>
        </w:rPr>
        <w:t>% витрат на оплату житла, комунальних продуктів та послуг (у 2020р. – 111 грн (9%)), у тому числі серед міських домогосподарств – 138 грн (8%), сільських – 165 грн (16%).</w:t>
      </w:r>
    </w:p>
    <w:p w14:paraId="08E73080" w14:textId="475373C5" w:rsidR="00BF677C" w:rsidRPr="007D1E95" w:rsidRDefault="00BF677C" w:rsidP="00BF677C">
      <w:pPr>
        <w:pStyle w:val="a4"/>
        <w:ind w:firstLine="567"/>
        <w:jc w:val="both"/>
        <w:rPr>
          <w:sz w:val="28"/>
        </w:rPr>
      </w:pPr>
      <w:r w:rsidRPr="007D1E95">
        <w:rPr>
          <w:sz w:val="28"/>
        </w:rPr>
        <w:t xml:space="preserve">Домогосподарства з дітьми витрачали щомісяця на оплату житла, комунальних продуктів та послуг (з урахуванням суми безготівкових пільг та субсидій) у середньому 1815 грн, без дітей – 1391 грн. Суми пільг та субсидій (готівкових та безготівкових), отриманих пересічними домогосподарствами цих груп на такі цілі, становили відповідно </w:t>
      </w:r>
      <w:r w:rsidRPr="007D1E95">
        <w:rPr>
          <w:sz w:val="28"/>
          <w:lang w:val="ru-RU"/>
        </w:rPr>
        <w:t>104</w:t>
      </w:r>
      <w:r w:rsidRPr="007D1E95">
        <w:rPr>
          <w:sz w:val="28"/>
        </w:rPr>
        <w:t xml:space="preserve"> грн</w:t>
      </w:r>
      <w:r w:rsidRPr="007D1E95">
        <w:rPr>
          <w:sz w:val="28"/>
          <w:lang w:val="ru-RU"/>
        </w:rPr>
        <w:t xml:space="preserve"> </w:t>
      </w:r>
      <w:r w:rsidRPr="007D1E95">
        <w:rPr>
          <w:sz w:val="28"/>
        </w:rPr>
        <w:t>(6% витрат на оплату житла, комунальних продуктів та послуг) та 173 грн</w:t>
      </w:r>
      <w:r w:rsidRPr="007D1E95">
        <w:rPr>
          <w:sz w:val="28"/>
          <w:lang w:val="ru-RU"/>
        </w:rPr>
        <w:t xml:space="preserve"> </w:t>
      </w:r>
      <w:r w:rsidRPr="007D1E95">
        <w:rPr>
          <w:sz w:val="28"/>
        </w:rPr>
        <w:t>(1</w:t>
      </w:r>
      <w:r w:rsidRPr="007D1E95">
        <w:rPr>
          <w:sz w:val="28"/>
          <w:lang w:val="ru-RU"/>
        </w:rPr>
        <w:t>2</w:t>
      </w:r>
      <w:r w:rsidRPr="007D1E95">
        <w:rPr>
          <w:sz w:val="28"/>
        </w:rPr>
        <w:t xml:space="preserve">%), що відповідно в </w:t>
      </w:r>
      <w:r w:rsidRPr="007D1E95">
        <w:rPr>
          <w:sz w:val="28"/>
          <w:lang w:val="ru-RU"/>
        </w:rPr>
        <w:t>1,4</w:t>
      </w:r>
      <w:r w:rsidRPr="007D1E95">
        <w:rPr>
          <w:sz w:val="28"/>
        </w:rPr>
        <w:t xml:space="preserve"> та 1,3 раза </w:t>
      </w:r>
      <w:proofErr w:type="spellStart"/>
      <w:r w:rsidR="00345CF8" w:rsidRPr="007D1E95">
        <w:rPr>
          <w:sz w:val="28"/>
          <w:lang w:val="ru-RU"/>
        </w:rPr>
        <w:t>більше</w:t>
      </w:r>
      <w:proofErr w:type="spellEnd"/>
      <w:r w:rsidRPr="007D1E95">
        <w:rPr>
          <w:sz w:val="28"/>
        </w:rPr>
        <w:t>, ніж у 2020р.</w:t>
      </w:r>
    </w:p>
    <w:bookmarkEnd w:id="5"/>
    <w:p w14:paraId="283C44CA" w14:textId="678D317E" w:rsidR="00BF677C" w:rsidRPr="007D1E95" w:rsidRDefault="00BF677C" w:rsidP="00BF677C">
      <w:pPr>
        <w:ind w:firstLine="708"/>
        <w:jc w:val="both"/>
        <w:rPr>
          <w:sz w:val="28"/>
          <w:szCs w:val="28"/>
        </w:rPr>
      </w:pPr>
      <w:r w:rsidRPr="007D1E95">
        <w:rPr>
          <w:sz w:val="28"/>
          <w:szCs w:val="28"/>
        </w:rPr>
        <w:t>За даними опитування, суттєва частка домогосподарств забезпечена житловою площею недостатньою мірою. Житлова площа 35% домогосподарств нижче санітарної норми (13,65 м</w:t>
      </w:r>
      <w:r w:rsidRPr="007D1E95">
        <w:rPr>
          <w:sz w:val="28"/>
          <w:szCs w:val="28"/>
          <w:vertAlign w:val="superscript"/>
        </w:rPr>
        <w:t>2</w:t>
      </w:r>
      <w:r w:rsidRPr="007D1E95">
        <w:rPr>
          <w:sz w:val="28"/>
          <w:szCs w:val="28"/>
        </w:rPr>
        <w:t xml:space="preserve"> на одну особу), у великих містах – 43%, у малих – 34%, у сільській місцевості – 27% домогосподарств. Зокрема, житлова площа </w:t>
      </w:r>
      <w:r w:rsidR="00CE264B" w:rsidRPr="007D1E95">
        <w:rPr>
          <w:sz w:val="28"/>
          <w:szCs w:val="28"/>
          <w:lang w:val="ru-RU"/>
        </w:rPr>
        <w:t>23%</w:t>
      </w:r>
      <w:r w:rsidRPr="007D1E95">
        <w:rPr>
          <w:sz w:val="28"/>
          <w:szCs w:val="28"/>
        </w:rPr>
        <w:t xml:space="preserve"> домогосподарств становить від 9,01 м</w:t>
      </w:r>
      <w:r w:rsidRPr="007D1E95">
        <w:rPr>
          <w:sz w:val="28"/>
          <w:szCs w:val="28"/>
          <w:vertAlign w:val="superscript"/>
        </w:rPr>
        <w:t>2</w:t>
      </w:r>
      <w:r w:rsidRPr="007D1E95">
        <w:rPr>
          <w:sz w:val="28"/>
          <w:szCs w:val="28"/>
        </w:rPr>
        <w:t xml:space="preserve"> до 13,65 м</w:t>
      </w:r>
      <w:r w:rsidRPr="007D1E95">
        <w:rPr>
          <w:sz w:val="28"/>
          <w:szCs w:val="28"/>
          <w:vertAlign w:val="superscript"/>
        </w:rPr>
        <w:t>2</w:t>
      </w:r>
      <w:r w:rsidRPr="007D1E95">
        <w:rPr>
          <w:sz w:val="28"/>
          <w:szCs w:val="28"/>
        </w:rPr>
        <w:t xml:space="preserve"> на одну особу, 7% домогосподарств – менше 7,5 м</w:t>
      </w:r>
      <w:r w:rsidRPr="007D1E95">
        <w:rPr>
          <w:sz w:val="28"/>
          <w:szCs w:val="28"/>
          <w:vertAlign w:val="superscript"/>
        </w:rPr>
        <w:t>2</w:t>
      </w:r>
      <w:r w:rsidRPr="007D1E95">
        <w:rPr>
          <w:sz w:val="28"/>
          <w:szCs w:val="28"/>
        </w:rPr>
        <w:t>, 5% домогосподарств – від 7,5 м</w:t>
      </w:r>
      <w:r w:rsidRPr="007D1E95">
        <w:rPr>
          <w:sz w:val="28"/>
          <w:szCs w:val="28"/>
          <w:vertAlign w:val="superscript"/>
        </w:rPr>
        <w:t>2</w:t>
      </w:r>
      <w:r w:rsidRPr="007D1E95">
        <w:rPr>
          <w:sz w:val="28"/>
          <w:szCs w:val="28"/>
        </w:rPr>
        <w:t xml:space="preserve"> до 9 м</w:t>
      </w:r>
      <w:r w:rsidRPr="007D1E95">
        <w:rPr>
          <w:sz w:val="28"/>
          <w:szCs w:val="28"/>
          <w:vertAlign w:val="superscript"/>
        </w:rPr>
        <w:t>2</w:t>
      </w:r>
      <w:r w:rsidRPr="007D1E95">
        <w:rPr>
          <w:sz w:val="28"/>
          <w:szCs w:val="28"/>
        </w:rPr>
        <w:t>.</w:t>
      </w:r>
      <w:r w:rsidR="00CE264B" w:rsidRPr="007D1E95">
        <w:rPr>
          <w:sz w:val="28"/>
          <w:szCs w:val="28"/>
          <w:lang w:val="ru-RU"/>
        </w:rPr>
        <w:t xml:space="preserve"> К</w:t>
      </w:r>
      <w:proofErr w:type="spellStart"/>
      <w:r w:rsidRPr="007D1E95">
        <w:rPr>
          <w:sz w:val="28"/>
          <w:szCs w:val="28"/>
        </w:rPr>
        <w:t>ожна</w:t>
      </w:r>
      <w:proofErr w:type="spellEnd"/>
      <w:r w:rsidRPr="007D1E95">
        <w:rPr>
          <w:sz w:val="28"/>
          <w:szCs w:val="28"/>
        </w:rPr>
        <w:t xml:space="preserve"> друга особа проживала у перенаселеному житлі</w:t>
      </w:r>
      <w:r w:rsidRPr="007D1E95">
        <w:rPr>
          <w:sz w:val="28"/>
          <w:szCs w:val="28"/>
          <w:vertAlign w:val="superscript"/>
        </w:rPr>
        <w:footnoteReference w:id="5"/>
      </w:r>
      <w:r w:rsidRPr="007D1E95">
        <w:rPr>
          <w:sz w:val="28"/>
          <w:szCs w:val="28"/>
        </w:rPr>
        <w:t>, а серед дітей до 18 років – 72%.</w:t>
      </w:r>
    </w:p>
    <w:p w14:paraId="2B27CC41" w14:textId="65AC5698" w:rsidR="00BF677C" w:rsidRPr="007D1E95" w:rsidRDefault="00BF677C" w:rsidP="00BF677C">
      <w:pPr>
        <w:ind w:firstLine="708"/>
        <w:jc w:val="both"/>
        <w:rPr>
          <w:sz w:val="28"/>
          <w:szCs w:val="28"/>
        </w:rPr>
      </w:pPr>
      <w:r w:rsidRPr="007D1E95">
        <w:rPr>
          <w:sz w:val="28"/>
          <w:szCs w:val="28"/>
        </w:rPr>
        <w:t xml:space="preserve">Задоволені в цілому або дуже задоволені своїми житловими умовами – 60% домогосподарств, як і у 2020р, зокрема, у великих містах – 66%, у малих містах – 62%, у сільській місцевості – </w:t>
      </w:r>
      <w:r w:rsidR="00CE264B" w:rsidRPr="007D1E95">
        <w:rPr>
          <w:sz w:val="28"/>
          <w:szCs w:val="28"/>
          <w:lang w:val="ru-RU"/>
        </w:rPr>
        <w:t>половина</w:t>
      </w:r>
      <w:r w:rsidRPr="007D1E95">
        <w:rPr>
          <w:sz w:val="28"/>
          <w:szCs w:val="28"/>
        </w:rPr>
        <w:t xml:space="preserve">. </w:t>
      </w:r>
    </w:p>
    <w:p w14:paraId="30D3AF68" w14:textId="70E7401A" w:rsidR="00BF677C" w:rsidRPr="007D1E95" w:rsidRDefault="00BF677C" w:rsidP="00BF677C">
      <w:pPr>
        <w:ind w:firstLine="708"/>
        <w:jc w:val="both"/>
        <w:rPr>
          <w:sz w:val="28"/>
          <w:szCs w:val="28"/>
        </w:rPr>
      </w:pPr>
      <w:r w:rsidRPr="007D1E95">
        <w:rPr>
          <w:sz w:val="28"/>
          <w:szCs w:val="28"/>
        </w:rPr>
        <w:t xml:space="preserve">У цілому по країні 13% домогосподарств (11% у містах та </w:t>
      </w:r>
      <w:r w:rsidR="000823A3" w:rsidRPr="007D1E95">
        <w:rPr>
          <w:sz w:val="28"/>
          <w:szCs w:val="28"/>
          <w:lang w:val="ru-RU"/>
        </w:rPr>
        <w:t xml:space="preserve">18% </w:t>
      </w:r>
      <w:r w:rsidRPr="007D1E95">
        <w:rPr>
          <w:sz w:val="28"/>
          <w:szCs w:val="28"/>
        </w:rPr>
        <w:t>у сільській місцевості) незадоволені або дуже незадоволені своїми житловими умовами. Не дуже задоволені своїм житлом 27% домогосподарств.</w:t>
      </w:r>
    </w:p>
    <w:p w14:paraId="43FD01CC" w14:textId="3AA5401C" w:rsidR="00BF677C" w:rsidRPr="007D1E95" w:rsidRDefault="00BF677C" w:rsidP="00BF677C">
      <w:pPr>
        <w:pStyle w:val="a4"/>
        <w:ind w:firstLine="567"/>
        <w:jc w:val="both"/>
        <w:rPr>
          <w:sz w:val="28"/>
        </w:rPr>
      </w:pPr>
      <w:r w:rsidRPr="007D1E95">
        <w:rPr>
          <w:sz w:val="28"/>
        </w:rPr>
        <w:t>Підсумки опитування домогосподарств, проведеного у січні 2022р., засвідчили, що с</w:t>
      </w:r>
      <w:r w:rsidRPr="007D1E95">
        <w:rPr>
          <w:sz w:val="28"/>
          <w:szCs w:val="28"/>
        </w:rPr>
        <w:t xml:space="preserve">учасні </w:t>
      </w:r>
      <w:r w:rsidRPr="007D1E95">
        <w:rPr>
          <w:b/>
          <w:sz w:val="28"/>
          <w:szCs w:val="28"/>
        </w:rPr>
        <w:t>інформаційно-комунікаційні технології</w:t>
      </w:r>
      <w:r w:rsidRPr="007D1E95">
        <w:rPr>
          <w:sz w:val="28"/>
          <w:szCs w:val="28"/>
        </w:rPr>
        <w:t xml:space="preserve">, зокрема </w:t>
      </w:r>
      <w:r w:rsidRPr="007D1E95">
        <w:rPr>
          <w:b/>
          <w:sz w:val="28"/>
          <w:szCs w:val="28"/>
        </w:rPr>
        <w:t>Інтернет</w:t>
      </w:r>
      <w:r w:rsidRPr="007D1E95">
        <w:rPr>
          <w:sz w:val="28"/>
          <w:szCs w:val="28"/>
        </w:rPr>
        <w:t xml:space="preserve">, стають більш доступними та набувають усе більшого поширення серед населення </w:t>
      </w:r>
      <w:r w:rsidRPr="007D1E95">
        <w:rPr>
          <w:sz w:val="28"/>
        </w:rPr>
        <w:t>(додаток 9)</w:t>
      </w:r>
      <w:r w:rsidRPr="007D1E95">
        <w:rPr>
          <w:sz w:val="28"/>
          <w:szCs w:val="28"/>
        </w:rPr>
        <w:t>. За п</w:t>
      </w:r>
      <w:r w:rsidRPr="007D1E95">
        <w:rPr>
          <w:sz w:val="28"/>
        </w:rPr>
        <w:t xml:space="preserve">ідсумками опитування частка осіб, які повідомили, що користувалися послугами Інтернету, становила 80% (у 2020р. – </w:t>
      </w:r>
      <w:r w:rsidRPr="007D1E95">
        <w:rPr>
          <w:sz w:val="28"/>
          <w:lang w:val="ru-RU"/>
        </w:rPr>
        <w:t>76</w:t>
      </w:r>
      <w:r w:rsidRPr="007D1E95">
        <w:rPr>
          <w:sz w:val="28"/>
        </w:rPr>
        <w:t xml:space="preserve">%), серед мешканців великих міст таких осіб було </w:t>
      </w:r>
      <w:r w:rsidRPr="007D1E95">
        <w:rPr>
          <w:sz w:val="28"/>
          <w:lang w:val="ru-RU"/>
        </w:rPr>
        <w:t>86%</w:t>
      </w:r>
      <w:r w:rsidRPr="007D1E95">
        <w:rPr>
          <w:sz w:val="28"/>
        </w:rPr>
        <w:t xml:space="preserve"> (</w:t>
      </w:r>
      <w:r w:rsidRPr="007D1E95">
        <w:rPr>
          <w:sz w:val="28"/>
          <w:lang w:val="ru-RU"/>
        </w:rPr>
        <w:t>83</w:t>
      </w:r>
      <w:r w:rsidRPr="007D1E95">
        <w:rPr>
          <w:sz w:val="28"/>
        </w:rPr>
        <w:t>%), малих міст – 81</w:t>
      </w:r>
      <w:r w:rsidRPr="007D1E95">
        <w:rPr>
          <w:sz w:val="28"/>
          <w:lang w:val="ru-RU"/>
        </w:rPr>
        <w:t>%</w:t>
      </w:r>
      <w:r w:rsidRPr="007D1E95">
        <w:rPr>
          <w:sz w:val="28"/>
        </w:rPr>
        <w:t xml:space="preserve"> (78</w:t>
      </w:r>
      <w:r w:rsidRPr="007D1E95">
        <w:rPr>
          <w:sz w:val="28"/>
          <w:lang w:val="ru-RU"/>
        </w:rPr>
        <w:t>%</w:t>
      </w:r>
      <w:r w:rsidRPr="007D1E95">
        <w:rPr>
          <w:sz w:val="28"/>
        </w:rPr>
        <w:t xml:space="preserve">). У сільській місцевості частка осіб, яка повідомила, що користувалася Інтернетом, порівняно з 2020р. зросла з 64% до </w:t>
      </w:r>
      <w:r w:rsidRPr="007D1E95">
        <w:rPr>
          <w:sz w:val="28"/>
          <w:lang w:val="ru-RU"/>
        </w:rPr>
        <w:t>71</w:t>
      </w:r>
      <w:r w:rsidRPr="007D1E95">
        <w:rPr>
          <w:sz w:val="28"/>
        </w:rPr>
        <w:t xml:space="preserve">%. У домогосподарствах з дітьми </w:t>
      </w:r>
      <w:r w:rsidRPr="007D1E95">
        <w:rPr>
          <w:sz w:val="28"/>
          <w:lang w:val="ru-RU"/>
        </w:rPr>
        <w:t>87</w:t>
      </w:r>
      <w:r w:rsidRPr="007D1E95">
        <w:rPr>
          <w:sz w:val="28"/>
        </w:rPr>
        <w:t xml:space="preserve">% осіб користувалися Інтернетом (у 2020р. – 85%), без дітей – 71% (65%). Частка домогосподарств, які мають доступ до послуг Інтернету вдома, збільшилася з 79% до </w:t>
      </w:r>
      <w:r w:rsidRPr="007D1E95">
        <w:rPr>
          <w:sz w:val="28"/>
          <w:lang w:val="ru-RU"/>
        </w:rPr>
        <w:t>83%</w:t>
      </w:r>
      <w:r w:rsidRPr="007D1E95">
        <w:rPr>
          <w:sz w:val="28"/>
        </w:rPr>
        <w:t>. Частка дітей у віці до</w:t>
      </w:r>
      <w:r w:rsidR="00C67A47" w:rsidRPr="007D1E95">
        <w:rPr>
          <w:sz w:val="28"/>
          <w:lang w:val="ru-RU"/>
        </w:rPr>
        <w:t xml:space="preserve"> </w:t>
      </w:r>
      <w:r w:rsidRPr="007D1E95">
        <w:rPr>
          <w:sz w:val="28"/>
        </w:rPr>
        <w:t>18 років, які користувалися Інтернетом, становила 7</w:t>
      </w:r>
      <w:r w:rsidRPr="007D1E95">
        <w:rPr>
          <w:sz w:val="28"/>
          <w:lang w:val="ru-RU"/>
        </w:rPr>
        <w:t>9</w:t>
      </w:r>
      <w:r w:rsidRPr="007D1E95">
        <w:rPr>
          <w:sz w:val="28"/>
        </w:rPr>
        <w:t>% (у 20</w:t>
      </w:r>
      <w:r w:rsidRPr="007D1E95">
        <w:rPr>
          <w:sz w:val="28"/>
          <w:lang w:val="ru-RU"/>
        </w:rPr>
        <w:t>20</w:t>
      </w:r>
      <w:r w:rsidRPr="007D1E95">
        <w:rPr>
          <w:sz w:val="28"/>
        </w:rPr>
        <w:t xml:space="preserve">р. – </w:t>
      </w:r>
      <w:r w:rsidRPr="007D1E95">
        <w:rPr>
          <w:sz w:val="28"/>
          <w:lang w:val="ru-RU"/>
        </w:rPr>
        <w:t>76</w:t>
      </w:r>
      <w:r w:rsidRPr="007D1E95">
        <w:rPr>
          <w:sz w:val="28"/>
        </w:rPr>
        <w:t>%).</w:t>
      </w:r>
    </w:p>
    <w:p w14:paraId="5C3AC0DB" w14:textId="67570D98" w:rsidR="00BF677C" w:rsidRPr="007D1E95" w:rsidRDefault="00BF677C" w:rsidP="00BF677C">
      <w:pPr>
        <w:tabs>
          <w:tab w:val="left" w:pos="5670"/>
        </w:tabs>
        <w:ind w:firstLine="567"/>
        <w:jc w:val="both"/>
        <w:rPr>
          <w:sz w:val="28"/>
          <w:szCs w:val="28"/>
        </w:rPr>
      </w:pPr>
      <w:r w:rsidRPr="007D1E95">
        <w:rPr>
          <w:sz w:val="28"/>
          <w:szCs w:val="28"/>
        </w:rPr>
        <w:t>Серед користувачів Інтернетом повідомили, що користувалися послугами всесвітньої мережі не менше ніж раз на день, 87% осіб; не менше ніж раз на тиждень, але не кожен день – 12%; менше</w:t>
      </w:r>
      <w:r w:rsidR="00796776" w:rsidRPr="007D1E95">
        <w:rPr>
          <w:sz w:val="28"/>
          <w:szCs w:val="28"/>
          <w:lang w:val="ru-RU"/>
        </w:rPr>
        <w:t>,</w:t>
      </w:r>
      <w:r w:rsidRPr="007D1E95">
        <w:rPr>
          <w:sz w:val="28"/>
          <w:szCs w:val="28"/>
        </w:rPr>
        <w:t xml:space="preserve"> ніж раз на тиждень – 1,1%.</w:t>
      </w:r>
    </w:p>
    <w:p w14:paraId="550571EA" w14:textId="50FBFCE0" w:rsidR="00BF677C" w:rsidRPr="007D1E95" w:rsidRDefault="00BF677C" w:rsidP="00BF677C">
      <w:pPr>
        <w:pStyle w:val="a4"/>
        <w:ind w:firstLine="567"/>
        <w:jc w:val="both"/>
        <w:rPr>
          <w:sz w:val="28"/>
        </w:rPr>
      </w:pPr>
      <w:r w:rsidRPr="007D1E95">
        <w:rPr>
          <w:sz w:val="28"/>
        </w:rPr>
        <w:t xml:space="preserve">З числа користувачів 86% повідомили, що користувалися Інтернетом вдома, </w:t>
      </w:r>
      <w:r w:rsidR="00C968C0">
        <w:rPr>
          <w:sz w:val="28"/>
        </w:rPr>
        <w:br/>
      </w:r>
      <w:r w:rsidRPr="007D1E95">
        <w:rPr>
          <w:sz w:val="28"/>
        </w:rPr>
        <w:t xml:space="preserve">85% – у будь-якому місці через мобільний телефон, 18% – на роботі, 11% – за місцем навчання, 7% – в інших місцях (у друзів, знайомих), 0,5% – у будь-якому місці через інший пристрій мобільного доступу, 0,3% – у громадському центрі доступу до Інтернету та 0,1% – у комерційному центрі доступу до Інтернету. </w:t>
      </w:r>
    </w:p>
    <w:p w14:paraId="30682A73" w14:textId="77777777" w:rsidR="00BF677C" w:rsidRDefault="00BF677C" w:rsidP="00BF677C">
      <w:pPr>
        <w:jc w:val="center"/>
        <w:rPr>
          <w:sz w:val="10"/>
          <w:szCs w:val="10"/>
        </w:rPr>
      </w:pPr>
    </w:p>
    <w:p w14:paraId="38366783" w14:textId="77777777" w:rsidR="006E6023" w:rsidRDefault="006E6023" w:rsidP="00BF677C">
      <w:pPr>
        <w:jc w:val="center"/>
        <w:rPr>
          <w:sz w:val="10"/>
          <w:szCs w:val="10"/>
        </w:rPr>
      </w:pPr>
    </w:p>
    <w:p w14:paraId="1A2DE216" w14:textId="77777777" w:rsidR="006E6023" w:rsidRDefault="006E6023" w:rsidP="00BF677C">
      <w:pPr>
        <w:jc w:val="center"/>
        <w:rPr>
          <w:sz w:val="10"/>
          <w:szCs w:val="10"/>
        </w:rPr>
      </w:pPr>
    </w:p>
    <w:p w14:paraId="6D472322" w14:textId="77777777" w:rsidR="006E6023" w:rsidRDefault="006E6023" w:rsidP="00BF677C">
      <w:pPr>
        <w:jc w:val="center"/>
        <w:rPr>
          <w:sz w:val="10"/>
          <w:szCs w:val="10"/>
        </w:rPr>
      </w:pPr>
    </w:p>
    <w:p w14:paraId="5D1BB195" w14:textId="77777777" w:rsidR="006E6023" w:rsidRDefault="006E6023" w:rsidP="00BF677C">
      <w:pPr>
        <w:jc w:val="center"/>
        <w:rPr>
          <w:sz w:val="10"/>
          <w:szCs w:val="10"/>
        </w:rPr>
      </w:pPr>
    </w:p>
    <w:p w14:paraId="0A788011" w14:textId="77777777" w:rsidR="006E6023" w:rsidRDefault="006E6023" w:rsidP="00BF677C">
      <w:pPr>
        <w:jc w:val="center"/>
        <w:rPr>
          <w:sz w:val="10"/>
          <w:szCs w:val="10"/>
        </w:rPr>
      </w:pPr>
    </w:p>
    <w:p w14:paraId="4BD5C4F9" w14:textId="77777777" w:rsidR="006E6023" w:rsidRDefault="006E6023" w:rsidP="00BF677C">
      <w:pPr>
        <w:jc w:val="center"/>
        <w:rPr>
          <w:sz w:val="10"/>
          <w:szCs w:val="10"/>
        </w:rPr>
      </w:pPr>
    </w:p>
    <w:p w14:paraId="62F25228" w14:textId="77777777" w:rsidR="006E6023" w:rsidRDefault="006E6023" w:rsidP="00BF677C">
      <w:pPr>
        <w:jc w:val="center"/>
        <w:rPr>
          <w:sz w:val="10"/>
          <w:szCs w:val="10"/>
        </w:rPr>
      </w:pPr>
    </w:p>
    <w:p w14:paraId="0546B03C" w14:textId="77777777" w:rsidR="006E6023" w:rsidRDefault="006E6023" w:rsidP="00BF677C">
      <w:pPr>
        <w:jc w:val="center"/>
        <w:rPr>
          <w:sz w:val="10"/>
          <w:szCs w:val="10"/>
        </w:rPr>
      </w:pPr>
    </w:p>
    <w:p w14:paraId="03E3B043" w14:textId="77777777" w:rsidR="006E6023" w:rsidRDefault="006E6023" w:rsidP="00BF677C">
      <w:pPr>
        <w:jc w:val="center"/>
        <w:rPr>
          <w:sz w:val="10"/>
          <w:szCs w:val="10"/>
        </w:rPr>
      </w:pPr>
    </w:p>
    <w:p w14:paraId="50EDB23C" w14:textId="77777777" w:rsidR="006E6023" w:rsidRDefault="006E6023" w:rsidP="00BF677C">
      <w:pPr>
        <w:jc w:val="center"/>
        <w:rPr>
          <w:sz w:val="10"/>
          <w:szCs w:val="10"/>
        </w:rPr>
      </w:pPr>
    </w:p>
    <w:p w14:paraId="49DB94F8" w14:textId="77777777" w:rsidR="006E6023" w:rsidRDefault="006E6023" w:rsidP="00BF677C">
      <w:pPr>
        <w:jc w:val="center"/>
        <w:rPr>
          <w:sz w:val="10"/>
          <w:szCs w:val="10"/>
        </w:rPr>
      </w:pPr>
    </w:p>
    <w:p w14:paraId="07EEBA86" w14:textId="77777777" w:rsidR="006E6023" w:rsidRDefault="006E6023" w:rsidP="00BF677C">
      <w:pPr>
        <w:jc w:val="center"/>
        <w:rPr>
          <w:sz w:val="10"/>
          <w:szCs w:val="10"/>
        </w:rPr>
      </w:pPr>
    </w:p>
    <w:p w14:paraId="6C7664A5" w14:textId="77777777" w:rsidR="006E6023" w:rsidRDefault="006E6023" w:rsidP="00BF677C">
      <w:pPr>
        <w:jc w:val="center"/>
        <w:rPr>
          <w:sz w:val="10"/>
          <w:szCs w:val="10"/>
        </w:rPr>
      </w:pPr>
    </w:p>
    <w:p w14:paraId="14FFF01A" w14:textId="77777777" w:rsidR="006E6023" w:rsidRDefault="006E6023" w:rsidP="00BF677C">
      <w:pPr>
        <w:jc w:val="center"/>
        <w:rPr>
          <w:sz w:val="10"/>
          <w:szCs w:val="10"/>
        </w:rPr>
      </w:pPr>
    </w:p>
    <w:p w14:paraId="2731463C" w14:textId="3F075B7F" w:rsidR="00BF677C" w:rsidRPr="00C968C0" w:rsidRDefault="00BF677C" w:rsidP="00BF677C">
      <w:pPr>
        <w:spacing w:before="120"/>
        <w:jc w:val="center"/>
        <w:rPr>
          <w:b/>
          <w:sz w:val="24"/>
          <w:szCs w:val="24"/>
        </w:rPr>
      </w:pPr>
      <w:bookmarkStart w:id="6" w:name="_GoBack"/>
      <w:bookmarkEnd w:id="6"/>
      <w:r w:rsidRPr="00C968C0">
        <w:rPr>
          <w:b/>
          <w:sz w:val="24"/>
          <w:szCs w:val="24"/>
        </w:rPr>
        <w:t xml:space="preserve">Розподіл користувачів послугами Інтернету за метою користування </w:t>
      </w:r>
    </w:p>
    <w:p w14:paraId="28603813" w14:textId="65B2C954" w:rsidR="00BF677C" w:rsidRPr="001F4390" w:rsidRDefault="00BF677C" w:rsidP="00BF677C">
      <w:pPr>
        <w:jc w:val="center"/>
      </w:pPr>
      <w:r w:rsidRPr="00C968C0">
        <w:t>(у % до населення, яке повідомило, що користувалося послугами Інтернету)</w:t>
      </w:r>
    </w:p>
    <w:p w14:paraId="48A8B2A5" w14:textId="77777777" w:rsidR="00BF677C" w:rsidRPr="001F4390" w:rsidRDefault="00BF677C" w:rsidP="008B78D4">
      <w:pPr>
        <w:jc w:val="both"/>
        <w:rPr>
          <w:sz w:val="28"/>
        </w:rPr>
      </w:pPr>
      <w:r w:rsidRPr="001F4390">
        <w:rPr>
          <w:noProof/>
          <w:sz w:val="28"/>
          <w:lang w:eastAsia="uk-UA"/>
        </w:rPr>
        <w:drawing>
          <wp:inline distT="0" distB="0" distL="0" distR="0" wp14:anchorId="79EB28C2" wp14:editId="4A60A23A">
            <wp:extent cx="6744970" cy="7065034"/>
            <wp:effectExtent l="0" t="0" r="0" b="2540"/>
            <wp:docPr id="8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783C6894" w14:textId="77777777" w:rsidR="006E6023" w:rsidRPr="006E6023" w:rsidRDefault="006E6023" w:rsidP="0042622E">
      <w:pPr>
        <w:pStyle w:val="a4"/>
        <w:ind w:firstLine="567"/>
        <w:jc w:val="both"/>
        <w:rPr>
          <w:sz w:val="16"/>
          <w:szCs w:val="16"/>
        </w:rPr>
      </w:pPr>
    </w:p>
    <w:p w14:paraId="0C07175B" w14:textId="3FBCD0CD" w:rsidR="0042622E" w:rsidRPr="001F4390" w:rsidRDefault="0042622E" w:rsidP="0042622E">
      <w:pPr>
        <w:pStyle w:val="a4"/>
        <w:ind w:firstLine="567"/>
        <w:jc w:val="both"/>
        <w:rPr>
          <w:sz w:val="28"/>
        </w:rPr>
      </w:pPr>
      <w:r w:rsidRPr="007D1E95">
        <w:rPr>
          <w:sz w:val="28"/>
        </w:rPr>
        <w:t>Населення користувалося послугами Інтернету з різними цілями. Найбільш поширеними серед користувачів послугами Інтернету були скачування фільмів, зображень, музики, перегляду телебачення чи відео; прослуховування радіо чи музики; гра у відео- чи комп’ютерні ігри або їх скачування – 73%, 61% вказали, що метою використання Інтернету було участь у соціальних мережах, спілкування, 42% – банківське обслуговування, 37% – телефонні переговори через Інтернет, 35% – відправлення (отримання) електронної пошти, 27% – пошук інформації щодо питань здоров’я як для себе, так і для інших, 21% – замовлення (купівля) товарів та послуг, а також читання або скачування періодичних видань у режимі он-лайн</w:t>
      </w:r>
      <w:bookmarkStart w:id="7" w:name="_Hlk50980729"/>
      <w:r w:rsidRPr="007D1E95">
        <w:rPr>
          <w:sz w:val="28"/>
        </w:rPr>
        <w:t xml:space="preserve">. </w:t>
      </w:r>
      <w:bookmarkStart w:id="8" w:name="_Hlk50980710"/>
      <w:r w:rsidRPr="007D1E95">
        <w:rPr>
          <w:sz w:val="28"/>
        </w:rPr>
        <w:t>Порівняно з 2020р. в</w:t>
      </w:r>
      <w:r w:rsidRPr="007D1E95">
        <w:rPr>
          <w:sz w:val="28"/>
          <w:lang w:val="ru-RU"/>
        </w:rPr>
        <w:t xml:space="preserve"> 1,4 раза </w:t>
      </w:r>
      <w:r w:rsidRPr="007D1E95">
        <w:rPr>
          <w:sz w:val="28"/>
        </w:rPr>
        <w:t>збільшилася частка користувачів, які використовують Інтернет</w:t>
      </w:r>
      <w:r w:rsidRPr="007D1E95">
        <w:rPr>
          <w:sz w:val="28"/>
          <w:lang w:val="ru-RU"/>
        </w:rPr>
        <w:t xml:space="preserve"> для </w:t>
      </w:r>
      <w:r w:rsidRPr="007D1E95">
        <w:rPr>
          <w:sz w:val="28"/>
        </w:rPr>
        <w:t>пошук</w:t>
      </w:r>
      <w:r w:rsidRPr="007D1E95">
        <w:rPr>
          <w:sz w:val="28"/>
          <w:lang w:val="ru-RU"/>
        </w:rPr>
        <w:t>у</w:t>
      </w:r>
      <w:r w:rsidRPr="007D1E95">
        <w:rPr>
          <w:sz w:val="28"/>
        </w:rPr>
        <w:t xml:space="preserve"> інформації щодо питань здоров’я як для себе, так і для інших </w:t>
      </w:r>
      <w:r w:rsidRPr="007D1E95">
        <w:rPr>
          <w:sz w:val="28"/>
          <w:lang w:val="ru-RU"/>
        </w:rPr>
        <w:t>та у</w:t>
      </w:r>
      <w:r w:rsidRPr="007D1E95">
        <w:rPr>
          <w:sz w:val="28"/>
        </w:rPr>
        <w:t xml:space="preserve"> 1,2 раза</w:t>
      </w:r>
      <w:r w:rsidRPr="007D1E95">
        <w:rPr>
          <w:sz w:val="28"/>
          <w:lang w:val="ru-RU"/>
        </w:rPr>
        <w:t xml:space="preserve"> </w:t>
      </w:r>
      <w:r w:rsidRPr="007D1E95">
        <w:rPr>
          <w:sz w:val="28"/>
        </w:rPr>
        <w:t>–</w:t>
      </w:r>
      <w:r w:rsidRPr="007D1E95">
        <w:rPr>
          <w:sz w:val="28"/>
          <w:lang w:val="ru-RU"/>
        </w:rPr>
        <w:t xml:space="preserve"> з</w:t>
      </w:r>
      <w:r w:rsidRPr="007D1E95">
        <w:rPr>
          <w:sz w:val="28"/>
        </w:rPr>
        <w:t xml:space="preserve"> метою банківського обслуговування</w:t>
      </w:r>
      <w:bookmarkEnd w:id="8"/>
      <w:r w:rsidRPr="007D1E95">
        <w:rPr>
          <w:sz w:val="28"/>
        </w:rPr>
        <w:t xml:space="preserve"> (додаток 1</w:t>
      </w:r>
      <w:r w:rsidRPr="007D1E95">
        <w:rPr>
          <w:sz w:val="28"/>
          <w:lang w:val="ru-RU"/>
        </w:rPr>
        <w:t>0</w:t>
      </w:r>
      <w:r w:rsidRPr="007D1E95">
        <w:rPr>
          <w:sz w:val="28"/>
        </w:rPr>
        <w:t>).</w:t>
      </w:r>
    </w:p>
    <w:bookmarkEnd w:id="7"/>
    <w:p w14:paraId="711977FB" w14:textId="77777777" w:rsidR="00BF677C" w:rsidRPr="007D1E95" w:rsidRDefault="00BF677C" w:rsidP="00BF677C">
      <w:pPr>
        <w:ind w:firstLine="567"/>
        <w:jc w:val="both"/>
        <w:rPr>
          <w:sz w:val="28"/>
        </w:rPr>
      </w:pPr>
      <w:r w:rsidRPr="007D1E95">
        <w:rPr>
          <w:sz w:val="28"/>
        </w:rPr>
        <w:t>Діти до 18 років найчастіше користувалися Інтернетом з метою  скачування фільмів, зображень, музики; перегляду телебачення чи відео; або прослуховування радіо чи музики; гри у відео- чи комп'ютерні ігри або їх скачування (93% користувачів такого віку), 67% – проведення навчальних заходів в освітніх, професійних або приватних цілях шляхом онлайн-курсу (крім повних онлайн-курсів), 52% – з метою участі у соціальних мережах, спілкування, 27% та 26% відповідно – для телефонних переговорів через Інтернет та  відправлення (отримання) електронної пошти, 13% – читання/скачування газет, журналів у режимі онлайн.</w:t>
      </w:r>
    </w:p>
    <w:p w14:paraId="791CD2D7" w14:textId="26EB6B76" w:rsidR="00BF677C" w:rsidRPr="007D1E95" w:rsidRDefault="00BF677C" w:rsidP="00D26E8A">
      <w:pPr>
        <w:pStyle w:val="a4"/>
        <w:tabs>
          <w:tab w:val="left" w:pos="9356"/>
        </w:tabs>
        <w:ind w:firstLine="567"/>
        <w:jc w:val="both"/>
        <w:rPr>
          <w:sz w:val="28"/>
        </w:rPr>
      </w:pPr>
      <w:r w:rsidRPr="007D1E95">
        <w:rPr>
          <w:sz w:val="28"/>
        </w:rPr>
        <w:t xml:space="preserve">Послугами всесвітньої мережі </w:t>
      </w:r>
      <w:r w:rsidRPr="00A1315B">
        <w:rPr>
          <w:sz w:val="28"/>
        </w:rPr>
        <w:t>користувалися 8</w:t>
      </w:r>
      <w:r w:rsidR="00A1315B">
        <w:rPr>
          <w:sz w:val="28"/>
        </w:rPr>
        <w:t>2</w:t>
      </w:r>
      <w:r w:rsidRPr="00A1315B">
        <w:rPr>
          <w:sz w:val="28"/>
        </w:rPr>
        <w:t xml:space="preserve">% чоловіків та </w:t>
      </w:r>
      <w:r w:rsidR="00A1315B">
        <w:rPr>
          <w:sz w:val="28"/>
        </w:rPr>
        <w:t>77</w:t>
      </w:r>
      <w:r w:rsidRPr="00A1315B">
        <w:rPr>
          <w:sz w:val="28"/>
        </w:rPr>
        <w:t xml:space="preserve">% жінок. </w:t>
      </w:r>
      <w:r w:rsidRPr="007D1E95">
        <w:rPr>
          <w:sz w:val="28"/>
        </w:rPr>
        <w:t>Чоловіки частіше, ніж жінки, використовували Інтернет для скачування фільмів, зображень, музики, перегляду телебачення чи відео; або прослуховування радіо чи музики; гри у відео- чи комп’ютерні ігри або їх скачування, читання або скачування періодичних видань у режимі он-лайн та скачування програмного забезпечення. Жінки переважно користувалися послугами Інтернету для участі у соціальних мережах, спілкування, банківського обслуговування, пошуку інформації, пов’язаної з питаннями здоров'я, як для себе, так і для інших, замовлення (купівлі) товарів та послуг та запис на прийом до лікаря-спеціаліста через Інтернет.</w:t>
      </w:r>
    </w:p>
    <w:p w14:paraId="61D16948" w14:textId="259D9B55" w:rsidR="00BF677C" w:rsidRPr="007D1E95" w:rsidRDefault="00BF677C" w:rsidP="00BF677C">
      <w:pPr>
        <w:pStyle w:val="a4"/>
        <w:tabs>
          <w:tab w:val="left" w:pos="9356"/>
        </w:tabs>
        <w:ind w:firstLine="567"/>
        <w:jc w:val="both"/>
        <w:rPr>
          <w:sz w:val="28"/>
        </w:rPr>
      </w:pPr>
      <w:r w:rsidRPr="007D1E95">
        <w:rPr>
          <w:sz w:val="28"/>
        </w:rPr>
        <w:t xml:space="preserve">Разом з тим 15% населення у віці 5 років і старше повідомило, що за останні </w:t>
      </w:r>
      <w:r w:rsidR="00DA32EB">
        <w:rPr>
          <w:sz w:val="28"/>
        </w:rPr>
        <w:br/>
      </w:r>
      <w:r w:rsidRPr="007D1E95">
        <w:rPr>
          <w:sz w:val="28"/>
        </w:rPr>
        <w:t>12 місяців не мало можливості користуватися послугами Інтернету, серед мешканців великих міст таких осіб було 9%, малих міст – 14%, у сільській місцевості – 23%. Серед найбільш поширених причин неможливості користування послугами Інтернету респондентами було вказано відсутність потреби у цих послугах – 79% (у 2020р. – 81%) таких осіб, занадто висока вартість використання – 22% та відсутність впевненості, знань чи навичок для використання Інтернету – 17% (додаток 1</w:t>
      </w:r>
      <w:r w:rsidRPr="007D1E95">
        <w:rPr>
          <w:sz w:val="28"/>
          <w:lang w:val="ru-RU"/>
        </w:rPr>
        <w:t>1</w:t>
      </w:r>
      <w:r w:rsidRPr="007D1E95">
        <w:rPr>
          <w:sz w:val="28"/>
        </w:rPr>
        <w:t>).</w:t>
      </w:r>
    </w:p>
    <w:p w14:paraId="39C0CDA4" w14:textId="49A330B3" w:rsidR="00BF677C" w:rsidRPr="001F4390" w:rsidRDefault="00003EB5" w:rsidP="00BF677C">
      <w:pPr>
        <w:pStyle w:val="Default"/>
        <w:ind w:firstLine="567"/>
        <w:jc w:val="both"/>
        <w:rPr>
          <w:sz w:val="28"/>
        </w:rPr>
      </w:pPr>
      <w:proofErr w:type="spellStart"/>
      <w:r w:rsidRPr="007D1E95">
        <w:rPr>
          <w:sz w:val="28"/>
          <w:szCs w:val="28"/>
        </w:rPr>
        <w:t>Дві</w:t>
      </w:r>
      <w:proofErr w:type="spellEnd"/>
      <w:r w:rsidRPr="007D1E95">
        <w:rPr>
          <w:sz w:val="28"/>
          <w:szCs w:val="28"/>
        </w:rPr>
        <w:t xml:space="preserve"> </w:t>
      </w:r>
      <w:proofErr w:type="spellStart"/>
      <w:r w:rsidRPr="007D1E95">
        <w:rPr>
          <w:sz w:val="28"/>
          <w:szCs w:val="28"/>
        </w:rPr>
        <w:t>третини</w:t>
      </w:r>
      <w:proofErr w:type="spellEnd"/>
      <w:r w:rsidRPr="007D1E95">
        <w:rPr>
          <w:sz w:val="28"/>
          <w:szCs w:val="28"/>
        </w:rPr>
        <w:t xml:space="preserve"> </w:t>
      </w:r>
      <w:proofErr w:type="spellStart"/>
      <w:r w:rsidR="00BF677C" w:rsidRPr="007D1E95">
        <w:rPr>
          <w:sz w:val="28"/>
        </w:rPr>
        <w:t>осіб</w:t>
      </w:r>
      <w:proofErr w:type="spellEnd"/>
      <w:r w:rsidR="00BF677C" w:rsidRPr="007D1E95">
        <w:rPr>
          <w:sz w:val="28"/>
        </w:rPr>
        <w:t xml:space="preserve"> </w:t>
      </w:r>
      <w:proofErr w:type="spellStart"/>
      <w:r w:rsidR="00BF677C" w:rsidRPr="007D1E95">
        <w:rPr>
          <w:sz w:val="28"/>
        </w:rPr>
        <w:t>повідомили</w:t>
      </w:r>
      <w:proofErr w:type="spellEnd"/>
      <w:r w:rsidR="00BF677C" w:rsidRPr="007D1E95">
        <w:rPr>
          <w:sz w:val="28"/>
        </w:rPr>
        <w:t xml:space="preserve">, що за </w:t>
      </w:r>
      <w:proofErr w:type="spellStart"/>
      <w:r w:rsidR="00BF677C" w:rsidRPr="007D1E95">
        <w:rPr>
          <w:sz w:val="28"/>
        </w:rPr>
        <w:t>останні</w:t>
      </w:r>
      <w:proofErr w:type="spellEnd"/>
      <w:r w:rsidR="00BF677C" w:rsidRPr="007D1E95">
        <w:rPr>
          <w:sz w:val="28"/>
        </w:rPr>
        <w:t xml:space="preserve"> 3 </w:t>
      </w:r>
      <w:proofErr w:type="spellStart"/>
      <w:r w:rsidR="00BF677C" w:rsidRPr="007D1E95">
        <w:rPr>
          <w:sz w:val="28"/>
        </w:rPr>
        <w:t>місяці</w:t>
      </w:r>
      <w:proofErr w:type="spellEnd"/>
      <w:r w:rsidR="00BF677C" w:rsidRPr="007D1E95">
        <w:rPr>
          <w:sz w:val="28"/>
        </w:rPr>
        <w:t xml:space="preserve"> </w:t>
      </w:r>
      <w:proofErr w:type="spellStart"/>
      <w:r w:rsidR="00BF677C" w:rsidRPr="007D1E95">
        <w:rPr>
          <w:sz w:val="28"/>
        </w:rPr>
        <w:t>користувалися</w:t>
      </w:r>
      <w:proofErr w:type="spellEnd"/>
      <w:r w:rsidR="00BF677C" w:rsidRPr="007D1E95">
        <w:rPr>
          <w:sz w:val="28"/>
        </w:rPr>
        <w:t xml:space="preserve"> </w:t>
      </w:r>
      <w:proofErr w:type="spellStart"/>
      <w:r w:rsidR="00BF677C" w:rsidRPr="007D1E95">
        <w:rPr>
          <w:sz w:val="28"/>
        </w:rPr>
        <w:t>комп’ютером</w:t>
      </w:r>
      <w:proofErr w:type="spellEnd"/>
      <w:r w:rsidR="00BF677C" w:rsidRPr="007D1E95">
        <w:rPr>
          <w:sz w:val="28"/>
        </w:rPr>
        <w:t xml:space="preserve">, </w:t>
      </w:r>
      <w:proofErr w:type="spellStart"/>
      <w:r w:rsidR="00BF677C" w:rsidRPr="007D1E95">
        <w:rPr>
          <w:sz w:val="28"/>
        </w:rPr>
        <w:t>серед</w:t>
      </w:r>
      <w:proofErr w:type="spellEnd"/>
      <w:r w:rsidR="00BF677C" w:rsidRPr="007D1E95">
        <w:rPr>
          <w:sz w:val="28"/>
        </w:rPr>
        <w:t xml:space="preserve"> </w:t>
      </w:r>
      <w:proofErr w:type="spellStart"/>
      <w:r w:rsidR="00BF677C" w:rsidRPr="007D1E95">
        <w:rPr>
          <w:sz w:val="28"/>
        </w:rPr>
        <w:t>мешканців</w:t>
      </w:r>
      <w:proofErr w:type="spellEnd"/>
      <w:r w:rsidR="00BF677C" w:rsidRPr="007D1E95">
        <w:rPr>
          <w:sz w:val="28"/>
        </w:rPr>
        <w:t xml:space="preserve"> великих міст </w:t>
      </w:r>
      <w:r w:rsidRPr="007D1E95">
        <w:rPr>
          <w:sz w:val="28"/>
        </w:rPr>
        <w:t xml:space="preserve">таких </w:t>
      </w:r>
      <w:proofErr w:type="spellStart"/>
      <w:r w:rsidRPr="007D1E95">
        <w:rPr>
          <w:sz w:val="28"/>
        </w:rPr>
        <w:t>осіб</w:t>
      </w:r>
      <w:proofErr w:type="spellEnd"/>
      <w:r w:rsidRPr="007D1E95">
        <w:rPr>
          <w:sz w:val="28"/>
        </w:rPr>
        <w:t xml:space="preserve"> </w:t>
      </w:r>
      <w:proofErr w:type="spellStart"/>
      <w:r w:rsidRPr="007D1E95">
        <w:rPr>
          <w:sz w:val="28"/>
        </w:rPr>
        <w:t>було</w:t>
      </w:r>
      <w:proofErr w:type="spellEnd"/>
      <w:r w:rsidRPr="007D1E95">
        <w:rPr>
          <w:sz w:val="28"/>
        </w:rPr>
        <w:t xml:space="preserve"> </w:t>
      </w:r>
      <w:r w:rsidR="00BF677C" w:rsidRPr="007D1E95">
        <w:rPr>
          <w:sz w:val="28"/>
        </w:rPr>
        <w:t xml:space="preserve">76%, </w:t>
      </w:r>
      <w:proofErr w:type="spellStart"/>
      <w:r w:rsidR="00BF677C" w:rsidRPr="007D1E95">
        <w:rPr>
          <w:sz w:val="28"/>
        </w:rPr>
        <w:t>малих</w:t>
      </w:r>
      <w:proofErr w:type="spellEnd"/>
      <w:r w:rsidR="00BF677C" w:rsidRPr="007D1E95">
        <w:rPr>
          <w:sz w:val="28"/>
        </w:rPr>
        <w:t xml:space="preserve"> міст – 68%. У </w:t>
      </w:r>
      <w:proofErr w:type="spellStart"/>
      <w:r w:rsidR="00BF677C" w:rsidRPr="007D1E95">
        <w:rPr>
          <w:sz w:val="28"/>
        </w:rPr>
        <w:t>сільській</w:t>
      </w:r>
      <w:proofErr w:type="spellEnd"/>
      <w:r w:rsidR="00BF677C" w:rsidRPr="007D1E95">
        <w:rPr>
          <w:sz w:val="28"/>
        </w:rPr>
        <w:t xml:space="preserve"> </w:t>
      </w:r>
      <w:proofErr w:type="spellStart"/>
      <w:r w:rsidR="00BF677C" w:rsidRPr="007D1E95">
        <w:rPr>
          <w:sz w:val="28"/>
        </w:rPr>
        <w:t>місцевості</w:t>
      </w:r>
      <w:proofErr w:type="spellEnd"/>
      <w:r w:rsidR="00BF677C" w:rsidRPr="007D1E95">
        <w:rPr>
          <w:sz w:val="28"/>
        </w:rPr>
        <w:t xml:space="preserve"> </w:t>
      </w:r>
      <w:proofErr w:type="spellStart"/>
      <w:r w:rsidR="00BF677C" w:rsidRPr="007D1E95">
        <w:rPr>
          <w:sz w:val="28"/>
        </w:rPr>
        <w:t>частка</w:t>
      </w:r>
      <w:proofErr w:type="spellEnd"/>
      <w:r w:rsidR="00BF677C" w:rsidRPr="007D1E95">
        <w:rPr>
          <w:sz w:val="28"/>
        </w:rPr>
        <w:t xml:space="preserve"> </w:t>
      </w:r>
      <w:proofErr w:type="spellStart"/>
      <w:r w:rsidR="00BF677C" w:rsidRPr="007D1E95">
        <w:rPr>
          <w:sz w:val="28"/>
        </w:rPr>
        <w:t>осіб</w:t>
      </w:r>
      <w:proofErr w:type="spellEnd"/>
      <w:r w:rsidR="00BF677C" w:rsidRPr="007D1E95">
        <w:rPr>
          <w:sz w:val="28"/>
        </w:rPr>
        <w:t xml:space="preserve">, яка </w:t>
      </w:r>
      <w:proofErr w:type="spellStart"/>
      <w:r w:rsidR="00BF677C" w:rsidRPr="007D1E95">
        <w:rPr>
          <w:sz w:val="28"/>
        </w:rPr>
        <w:t>повідомила</w:t>
      </w:r>
      <w:proofErr w:type="spellEnd"/>
      <w:r w:rsidR="00BF677C" w:rsidRPr="007D1E95">
        <w:rPr>
          <w:sz w:val="28"/>
        </w:rPr>
        <w:t xml:space="preserve">, що за </w:t>
      </w:r>
      <w:proofErr w:type="spellStart"/>
      <w:r w:rsidR="00BF677C" w:rsidRPr="007D1E95">
        <w:rPr>
          <w:sz w:val="28"/>
        </w:rPr>
        <w:t>останні</w:t>
      </w:r>
      <w:proofErr w:type="spellEnd"/>
      <w:r w:rsidR="00BF677C" w:rsidRPr="007D1E95">
        <w:rPr>
          <w:sz w:val="28"/>
        </w:rPr>
        <w:t xml:space="preserve"> 3 </w:t>
      </w:r>
      <w:proofErr w:type="spellStart"/>
      <w:r w:rsidR="00BF677C" w:rsidRPr="007D1E95">
        <w:rPr>
          <w:sz w:val="28"/>
        </w:rPr>
        <w:t>місяці</w:t>
      </w:r>
      <w:proofErr w:type="spellEnd"/>
      <w:r w:rsidR="00BF677C" w:rsidRPr="007D1E95">
        <w:rPr>
          <w:sz w:val="28"/>
        </w:rPr>
        <w:t xml:space="preserve"> </w:t>
      </w:r>
      <w:proofErr w:type="spellStart"/>
      <w:r w:rsidR="00BF677C" w:rsidRPr="007D1E95">
        <w:rPr>
          <w:sz w:val="28"/>
        </w:rPr>
        <w:t>користувалася</w:t>
      </w:r>
      <w:proofErr w:type="spellEnd"/>
      <w:r w:rsidR="00BF677C" w:rsidRPr="007D1E95">
        <w:rPr>
          <w:sz w:val="28"/>
        </w:rPr>
        <w:t xml:space="preserve"> </w:t>
      </w:r>
      <w:proofErr w:type="spellStart"/>
      <w:r w:rsidR="00BF677C" w:rsidRPr="007D1E95">
        <w:rPr>
          <w:sz w:val="28"/>
        </w:rPr>
        <w:t>комп’ютером</w:t>
      </w:r>
      <w:proofErr w:type="spellEnd"/>
      <w:r w:rsidR="00BF677C" w:rsidRPr="007D1E95">
        <w:rPr>
          <w:sz w:val="28"/>
        </w:rPr>
        <w:t xml:space="preserve">, становила 52%. З числа </w:t>
      </w:r>
      <w:proofErr w:type="spellStart"/>
      <w:r w:rsidR="00BF677C" w:rsidRPr="007D1E95">
        <w:rPr>
          <w:sz w:val="28"/>
        </w:rPr>
        <w:t>користувачів</w:t>
      </w:r>
      <w:proofErr w:type="spellEnd"/>
      <w:r w:rsidR="00BF677C" w:rsidRPr="007D1E95">
        <w:rPr>
          <w:sz w:val="28"/>
        </w:rPr>
        <w:t xml:space="preserve"> 80% </w:t>
      </w:r>
      <w:proofErr w:type="spellStart"/>
      <w:r w:rsidR="00BF677C" w:rsidRPr="007D1E95">
        <w:rPr>
          <w:sz w:val="28"/>
        </w:rPr>
        <w:t>повідомили</w:t>
      </w:r>
      <w:proofErr w:type="spellEnd"/>
      <w:r w:rsidR="00BF677C" w:rsidRPr="007D1E95">
        <w:rPr>
          <w:sz w:val="28"/>
        </w:rPr>
        <w:t xml:space="preserve">, що </w:t>
      </w:r>
      <w:proofErr w:type="spellStart"/>
      <w:r w:rsidR="00BF677C" w:rsidRPr="007D1E95">
        <w:rPr>
          <w:sz w:val="28"/>
        </w:rPr>
        <w:t>мають</w:t>
      </w:r>
      <w:proofErr w:type="spellEnd"/>
      <w:r w:rsidR="00BF677C" w:rsidRPr="007D1E95">
        <w:rPr>
          <w:sz w:val="28"/>
        </w:rPr>
        <w:t xml:space="preserve"> </w:t>
      </w:r>
      <w:proofErr w:type="spellStart"/>
      <w:r w:rsidR="00BF677C" w:rsidRPr="007D1E95">
        <w:rPr>
          <w:sz w:val="28"/>
        </w:rPr>
        <w:t>навички</w:t>
      </w:r>
      <w:proofErr w:type="spellEnd"/>
      <w:r w:rsidR="00BF677C" w:rsidRPr="007D1E95">
        <w:rPr>
          <w:sz w:val="28"/>
        </w:rPr>
        <w:t xml:space="preserve"> </w:t>
      </w:r>
      <w:proofErr w:type="spellStart"/>
      <w:r w:rsidR="00BF677C" w:rsidRPr="007D1E95">
        <w:rPr>
          <w:sz w:val="28"/>
        </w:rPr>
        <w:t>копіювання</w:t>
      </w:r>
      <w:proofErr w:type="spellEnd"/>
      <w:r w:rsidR="00BF677C" w:rsidRPr="007D1E95">
        <w:rPr>
          <w:sz w:val="28"/>
        </w:rPr>
        <w:t xml:space="preserve"> </w:t>
      </w:r>
      <w:proofErr w:type="spellStart"/>
      <w:r w:rsidR="00BF677C" w:rsidRPr="007D1E95">
        <w:rPr>
          <w:sz w:val="28"/>
        </w:rPr>
        <w:t>або</w:t>
      </w:r>
      <w:proofErr w:type="spellEnd"/>
      <w:r w:rsidR="00BF677C" w:rsidRPr="007D1E95">
        <w:rPr>
          <w:sz w:val="28"/>
        </w:rPr>
        <w:t xml:space="preserve"> </w:t>
      </w:r>
      <w:proofErr w:type="spellStart"/>
      <w:r w:rsidR="00BF677C" w:rsidRPr="007D1E95">
        <w:rPr>
          <w:sz w:val="28"/>
        </w:rPr>
        <w:t>переміщення</w:t>
      </w:r>
      <w:proofErr w:type="spellEnd"/>
      <w:r w:rsidR="00BF677C" w:rsidRPr="007D1E95">
        <w:rPr>
          <w:sz w:val="28"/>
        </w:rPr>
        <w:t xml:space="preserve"> файла </w:t>
      </w:r>
      <w:proofErr w:type="spellStart"/>
      <w:r w:rsidR="00BF677C" w:rsidRPr="007D1E95">
        <w:rPr>
          <w:sz w:val="28"/>
        </w:rPr>
        <w:t>або</w:t>
      </w:r>
      <w:proofErr w:type="spellEnd"/>
      <w:r w:rsidR="00BF677C" w:rsidRPr="007D1E95">
        <w:rPr>
          <w:sz w:val="28"/>
        </w:rPr>
        <w:t xml:space="preserve"> папки (у 2020р. – 76%), </w:t>
      </w:r>
      <w:proofErr w:type="spellStart"/>
      <w:r w:rsidR="00BF677C" w:rsidRPr="007D1E95">
        <w:rPr>
          <w:sz w:val="28"/>
        </w:rPr>
        <w:t>відправлення</w:t>
      </w:r>
      <w:proofErr w:type="spellEnd"/>
      <w:r w:rsidR="00BF677C" w:rsidRPr="007D1E95">
        <w:rPr>
          <w:sz w:val="28"/>
        </w:rPr>
        <w:t xml:space="preserve"> </w:t>
      </w:r>
      <w:proofErr w:type="spellStart"/>
      <w:r w:rsidR="00BF677C" w:rsidRPr="007D1E95">
        <w:rPr>
          <w:sz w:val="28"/>
        </w:rPr>
        <w:t>електронної</w:t>
      </w:r>
      <w:proofErr w:type="spellEnd"/>
      <w:r w:rsidR="00BF677C" w:rsidRPr="007D1E95">
        <w:rPr>
          <w:sz w:val="28"/>
        </w:rPr>
        <w:t xml:space="preserve"> </w:t>
      </w:r>
      <w:proofErr w:type="spellStart"/>
      <w:r w:rsidR="00BF677C" w:rsidRPr="007D1E95">
        <w:rPr>
          <w:sz w:val="28"/>
        </w:rPr>
        <w:t>пошти</w:t>
      </w:r>
      <w:proofErr w:type="spellEnd"/>
      <w:r w:rsidR="00BF677C" w:rsidRPr="007D1E95">
        <w:rPr>
          <w:sz w:val="28"/>
        </w:rPr>
        <w:t xml:space="preserve"> з </w:t>
      </w:r>
      <w:proofErr w:type="spellStart"/>
      <w:r w:rsidR="00BF677C" w:rsidRPr="007D1E95">
        <w:rPr>
          <w:sz w:val="28"/>
        </w:rPr>
        <w:t>вкладеними</w:t>
      </w:r>
      <w:proofErr w:type="spellEnd"/>
      <w:r w:rsidR="00BF677C" w:rsidRPr="007D1E95">
        <w:rPr>
          <w:sz w:val="28"/>
        </w:rPr>
        <w:t xml:space="preserve"> файлами – 62% (57%), </w:t>
      </w:r>
      <w:proofErr w:type="spellStart"/>
      <w:r w:rsidR="00BF677C" w:rsidRPr="007D1E95">
        <w:rPr>
          <w:sz w:val="28"/>
        </w:rPr>
        <w:t>використання</w:t>
      </w:r>
      <w:proofErr w:type="spellEnd"/>
      <w:r w:rsidR="00BF677C" w:rsidRPr="007D1E95">
        <w:rPr>
          <w:sz w:val="28"/>
        </w:rPr>
        <w:t xml:space="preserve"> </w:t>
      </w:r>
      <w:proofErr w:type="spellStart"/>
      <w:r w:rsidR="00BF677C" w:rsidRPr="007D1E95">
        <w:rPr>
          <w:sz w:val="28"/>
        </w:rPr>
        <w:t>інструментів</w:t>
      </w:r>
      <w:proofErr w:type="spellEnd"/>
      <w:r w:rsidR="00BF677C" w:rsidRPr="007D1E95">
        <w:rPr>
          <w:sz w:val="28"/>
        </w:rPr>
        <w:t xml:space="preserve"> </w:t>
      </w:r>
      <w:proofErr w:type="spellStart"/>
      <w:r w:rsidR="00BF677C" w:rsidRPr="007D1E95">
        <w:rPr>
          <w:sz w:val="28"/>
        </w:rPr>
        <w:t>копіювання</w:t>
      </w:r>
      <w:proofErr w:type="spellEnd"/>
      <w:r w:rsidR="00BF677C" w:rsidRPr="007D1E95">
        <w:rPr>
          <w:sz w:val="28"/>
        </w:rPr>
        <w:t xml:space="preserve"> та вставки для </w:t>
      </w:r>
      <w:proofErr w:type="spellStart"/>
      <w:r w:rsidR="00BF677C" w:rsidRPr="007D1E95">
        <w:rPr>
          <w:sz w:val="28"/>
        </w:rPr>
        <w:t>дублювання</w:t>
      </w:r>
      <w:proofErr w:type="spellEnd"/>
      <w:r w:rsidR="00BF677C" w:rsidRPr="007D1E95">
        <w:rPr>
          <w:sz w:val="28"/>
        </w:rPr>
        <w:t xml:space="preserve"> </w:t>
      </w:r>
      <w:proofErr w:type="spellStart"/>
      <w:r w:rsidR="00BF677C" w:rsidRPr="007D1E95">
        <w:rPr>
          <w:sz w:val="28"/>
        </w:rPr>
        <w:t>чи</w:t>
      </w:r>
      <w:proofErr w:type="spellEnd"/>
      <w:r w:rsidR="00BF677C" w:rsidRPr="007D1E95">
        <w:rPr>
          <w:sz w:val="28"/>
        </w:rPr>
        <w:t xml:space="preserve"> </w:t>
      </w:r>
      <w:proofErr w:type="spellStart"/>
      <w:r w:rsidR="00BF677C" w:rsidRPr="007D1E95">
        <w:rPr>
          <w:sz w:val="28"/>
        </w:rPr>
        <w:t>переміщення</w:t>
      </w:r>
      <w:proofErr w:type="spellEnd"/>
      <w:r w:rsidR="00BF677C" w:rsidRPr="007D1E95">
        <w:rPr>
          <w:sz w:val="28"/>
        </w:rPr>
        <w:t xml:space="preserve"> </w:t>
      </w:r>
      <w:proofErr w:type="spellStart"/>
      <w:r w:rsidR="00BF677C" w:rsidRPr="007D1E95">
        <w:rPr>
          <w:sz w:val="28"/>
        </w:rPr>
        <w:t>інформації</w:t>
      </w:r>
      <w:proofErr w:type="spellEnd"/>
      <w:r w:rsidR="00BF677C" w:rsidRPr="007D1E95">
        <w:rPr>
          <w:sz w:val="28"/>
        </w:rPr>
        <w:t xml:space="preserve"> в </w:t>
      </w:r>
      <w:proofErr w:type="spellStart"/>
      <w:r w:rsidR="00BF677C" w:rsidRPr="007D1E95">
        <w:rPr>
          <w:sz w:val="28"/>
        </w:rPr>
        <w:t>документі</w:t>
      </w:r>
      <w:proofErr w:type="spellEnd"/>
      <w:r w:rsidR="00BF677C" w:rsidRPr="007D1E95">
        <w:rPr>
          <w:sz w:val="28"/>
        </w:rPr>
        <w:t xml:space="preserve"> – 58% (54%), </w:t>
      </w:r>
      <w:proofErr w:type="spellStart"/>
      <w:r w:rsidR="00BF677C" w:rsidRPr="007D1E95">
        <w:rPr>
          <w:sz w:val="28"/>
        </w:rPr>
        <w:t>перенесення</w:t>
      </w:r>
      <w:proofErr w:type="spellEnd"/>
      <w:r w:rsidR="00BF677C" w:rsidRPr="007D1E95">
        <w:rPr>
          <w:sz w:val="28"/>
        </w:rPr>
        <w:t xml:space="preserve"> </w:t>
      </w:r>
      <w:proofErr w:type="spellStart"/>
      <w:r w:rsidR="00BF677C" w:rsidRPr="007D1E95">
        <w:rPr>
          <w:sz w:val="28"/>
        </w:rPr>
        <w:t>файлів</w:t>
      </w:r>
      <w:proofErr w:type="spellEnd"/>
      <w:r w:rsidR="00BF677C" w:rsidRPr="007D1E95">
        <w:rPr>
          <w:sz w:val="28"/>
        </w:rPr>
        <w:t xml:space="preserve"> </w:t>
      </w:r>
      <w:proofErr w:type="spellStart"/>
      <w:r w:rsidR="00BF677C" w:rsidRPr="007D1E95">
        <w:rPr>
          <w:sz w:val="28"/>
        </w:rPr>
        <w:t>між</w:t>
      </w:r>
      <w:proofErr w:type="spellEnd"/>
      <w:r w:rsidR="00BF677C" w:rsidRPr="007D1E95">
        <w:rPr>
          <w:sz w:val="28"/>
        </w:rPr>
        <w:t xml:space="preserve"> </w:t>
      </w:r>
      <w:proofErr w:type="spellStart"/>
      <w:r w:rsidR="00BF677C" w:rsidRPr="007D1E95">
        <w:rPr>
          <w:sz w:val="28"/>
        </w:rPr>
        <w:t>комп'ютером</w:t>
      </w:r>
      <w:proofErr w:type="spellEnd"/>
      <w:r w:rsidR="00BF677C" w:rsidRPr="007D1E95">
        <w:rPr>
          <w:sz w:val="28"/>
        </w:rPr>
        <w:t xml:space="preserve"> </w:t>
      </w:r>
      <w:proofErr w:type="spellStart"/>
      <w:r w:rsidR="00BF677C" w:rsidRPr="007D1E95">
        <w:rPr>
          <w:sz w:val="28"/>
        </w:rPr>
        <w:t>чи</w:t>
      </w:r>
      <w:proofErr w:type="spellEnd"/>
      <w:r w:rsidR="00BF677C" w:rsidRPr="007D1E95">
        <w:rPr>
          <w:sz w:val="28"/>
        </w:rPr>
        <w:t xml:space="preserve"> </w:t>
      </w:r>
      <w:proofErr w:type="spellStart"/>
      <w:r w:rsidR="00BF677C" w:rsidRPr="007D1E95">
        <w:rPr>
          <w:sz w:val="28"/>
        </w:rPr>
        <w:t>іншими</w:t>
      </w:r>
      <w:proofErr w:type="spellEnd"/>
      <w:r w:rsidR="00BF677C" w:rsidRPr="007D1E95">
        <w:rPr>
          <w:sz w:val="28"/>
        </w:rPr>
        <w:t xml:space="preserve"> </w:t>
      </w:r>
      <w:proofErr w:type="spellStart"/>
      <w:r w:rsidR="00BF677C" w:rsidRPr="007D1E95">
        <w:rPr>
          <w:sz w:val="28"/>
        </w:rPr>
        <w:t>пристроями</w:t>
      </w:r>
      <w:proofErr w:type="spellEnd"/>
      <w:r w:rsidR="00BF677C" w:rsidRPr="007D1E95">
        <w:rPr>
          <w:sz w:val="28"/>
        </w:rPr>
        <w:t xml:space="preserve"> – 44% (39%), </w:t>
      </w:r>
      <w:proofErr w:type="spellStart"/>
      <w:r w:rsidR="00BF677C" w:rsidRPr="007D1E95">
        <w:rPr>
          <w:sz w:val="28"/>
        </w:rPr>
        <w:t>підключення</w:t>
      </w:r>
      <w:proofErr w:type="spellEnd"/>
      <w:r w:rsidR="00BF677C" w:rsidRPr="007D1E95">
        <w:rPr>
          <w:sz w:val="28"/>
        </w:rPr>
        <w:t xml:space="preserve"> й </w:t>
      </w:r>
      <w:proofErr w:type="spellStart"/>
      <w:r w:rsidR="00BF677C" w:rsidRPr="007D1E95">
        <w:rPr>
          <w:sz w:val="28"/>
        </w:rPr>
        <w:t>установлення</w:t>
      </w:r>
      <w:proofErr w:type="spellEnd"/>
      <w:r w:rsidR="00BF677C" w:rsidRPr="007D1E95">
        <w:rPr>
          <w:sz w:val="28"/>
        </w:rPr>
        <w:t xml:space="preserve"> </w:t>
      </w:r>
      <w:proofErr w:type="spellStart"/>
      <w:r w:rsidR="00BF677C" w:rsidRPr="007D1E95">
        <w:rPr>
          <w:sz w:val="28"/>
        </w:rPr>
        <w:t>нових</w:t>
      </w:r>
      <w:proofErr w:type="spellEnd"/>
      <w:r w:rsidR="00BF677C" w:rsidRPr="007D1E95">
        <w:rPr>
          <w:sz w:val="28"/>
        </w:rPr>
        <w:t xml:space="preserve"> </w:t>
      </w:r>
      <w:proofErr w:type="spellStart"/>
      <w:r w:rsidR="00BF677C" w:rsidRPr="007D1E95">
        <w:rPr>
          <w:sz w:val="28"/>
        </w:rPr>
        <w:t>пристроїв</w:t>
      </w:r>
      <w:proofErr w:type="spellEnd"/>
      <w:r w:rsidR="00BF677C" w:rsidRPr="007D1E95">
        <w:rPr>
          <w:sz w:val="28"/>
        </w:rPr>
        <w:t xml:space="preserve"> – 31% (25%), </w:t>
      </w:r>
      <w:r w:rsidR="00BF677C" w:rsidRPr="007D1E95">
        <w:rPr>
          <w:rFonts w:eastAsia="Times New Roman"/>
          <w:color w:val="auto"/>
          <w:sz w:val="28"/>
          <w:szCs w:val="20"/>
          <w:lang w:val="uk-UA" w:eastAsia="ru-RU"/>
        </w:rPr>
        <w:t>використання програмного забезпечення для редагування фотографій, відео та аудіо файлів – 19% (18%),</w:t>
      </w:r>
      <w:r w:rsidR="00BF677C" w:rsidRPr="007D1E95">
        <w:rPr>
          <w:sz w:val="28"/>
        </w:rPr>
        <w:t xml:space="preserve"> </w:t>
      </w:r>
      <w:r w:rsidRPr="007D1E95">
        <w:rPr>
          <w:sz w:val="28"/>
          <w:lang w:val="uk-UA"/>
        </w:rPr>
        <w:t xml:space="preserve">використання програмного забезпечення для обробки текстів – 18% (13%), </w:t>
      </w:r>
      <w:proofErr w:type="spellStart"/>
      <w:r w:rsidR="00BF677C" w:rsidRPr="007D1E95">
        <w:rPr>
          <w:sz w:val="28"/>
        </w:rPr>
        <w:t>використання</w:t>
      </w:r>
      <w:proofErr w:type="spellEnd"/>
      <w:r w:rsidR="00BF677C" w:rsidRPr="007D1E95">
        <w:rPr>
          <w:sz w:val="28"/>
        </w:rPr>
        <w:t xml:space="preserve"> </w:t>
      </w:r>
      <w:proofErr w:type="spellStart"/>
      <w:r w:rsidR="00BF677C" w:rsidRPr="007D1E95">
        <w:rPr>
          <w:sz w:val="28"/>
        </w:rPr>
        <w:t>базових</w:t>
      </w:r>
      <w:proofErr w:type="spellEnd"/>
      <w:r w:rsidR="00BF677C" w:rsidRPr="007D1E95">
        <w:rPr>
          <w:sz w:val="28"/>
        </w:rPr>
        <w:t xml:space="preserve"> </w:t>
      </w:r>
      <w:proofErr w:type="spellStart"/>
      <w:r w:rsidR="00BF677C" w:rsidRPr="007D1E95">
        <w:rPr>
          <w:sz w:val="28"/>
        </w:rPr>
        <w:t>арифметичних</w:t>
      </w:r>
      <w:proofErr w:type="spellEnd"/>
      <w:r w:rsidR="00BF677C" w:rsidRPr="007D1E95">
        <w:rPr>
          <w:sz w:val="28"/>
        </w:rPr>
        <w:t xml:space="preserve"> формул в </w:t>
      </w:r>
      <w:proofErr w:type="spellStart"/>
      <w:r w:rsidR="00BF677C" w:rsidRPr="007D1E95">
        <w:rPr>
          <w:sz w:val="28"/>
        </w:rPr>
        <w:t>електронній</w:t>
      </w:r>
      <w:proofErr w:type="spellEnd"/>
      <w:r w:rsidR="00BF677C" w:rsidRPr="007D1E95">
        <w:rPr>
          <w:sz w:val="28"/>
        </w:rPr>
        <w:t xml:space="preserve"> </w:t>
      </w:r>
      <w:proofErr w:type="spellStart"/>
      <w:r w:rsidR="00BF677C" w:rsidRPr="007D1E95">
        <w:rPr>
          <w:sz w:val="28"/>
        </w:rPr>
        <w:t>таблиці</w:t>
      </w:r>
      <w:proofErr w:type="spellEnd"/>
      <w:r w:rsidR="00BF677C" w:rsidRPr="007D1E95">
        <w:rPr>
          <w:sz w:val="28"/>
        </w:rPr>
        <w:t xml:space="preserve"> – </w:t>
      </w:r>
      <w:r w:rsidR="00BF677C" w:rsidRPr="007D1E95">
        <w:rPr>
          <w:sz w:val="28"/>
          <w:lang w:val="uk-UA"/>
        </w:rPr>
        <w:t>18</w:t>
      </w:r>
      <w:r w:rsidR="00BF677C" w:rsidRPr="007D1E95">
        <w:rPr>
          <w:sz w:val="28"/>
        </w:rPr>
        <w:t>% (</w:t>
      </w:r>
      <w:r w:rsidR="00BF677C" w:rsidRPr="007D1E95">
        <w:rPr>
          <w:sz w:val="28"/>
          <w:lang w:val="uk-UA"/>
        </w:rPr>
        <w:t>15</w:t>
      </w:r>
      <w:r w:rsidR="00BF677C" w:rsidRPr="007D1E95">
        <w:rPr>
          <w:sz w:val="28"/>
        </w:rPr>
        <w:t>%),</w:t>
      </w:r>
      <w:r w:rsidR="00BF677C" w:rsidRPr="007D1E95">
        <w:rPr>
          <w:sz w:val="28"/>
          <w:lang w:val="uk-UA"/>
        </w:rPr>
        <w:t xml:space="preserve"> </w:t>
      </w:r>
      <w:proofErr w:type="spellStart"/>
      <w:r w:rsidRPr="007D1E95">
        <w:rPr>
          <w:sz w:val="28"/>
        </w:rPr>
        <w:t>створення</w:t>
      </w:r>
      <w:proofErr w:type="spellEnd"/>
      <w:r w:rsidRPr="007D1E95">
        <w:rPr>
          <w:sz w:val="28"/>
        </w:rPr>
        <w:t xml:space="preserve"> </w:t>
      </w:r>
      <w:proofErr w:type="spellStart"/>
      <w:r w:rsidRPr="007D1E95">
        <w:rPr>
          <w:sz w:val="28"/>
        </w:rPr>
        <w:t>електронних</w:t>
      </w:r>
      <w:proofErr w:type="spellEnd"/>
      <w:r w:rsidRPr="007D1E95">
        <w:rPr>
          <w:sz w:val="28"/>
        </w:rPr>
        <w:t xml:space="preserve"> </w:t>
      </w:r>
      <w:proofErr w:type="spellStart"/>
      <w:r w:rsidRPr="007D1E95">
        <w:rPr>
          <w:sz w:val="28"/>
        </w:rPr>
        <w:t>презентацій</w:t>
      </w:r>
      <w:proofErr w:type="spellEnd"/>
      <w:r w:rsidRPr="007D1E95">
        <w:rPr>
          <w:sz w:val="28"/>
        </w:rPr>
        <w:t xml:space="preserve"> за </w:t>
      </w:r>
      <w:proofErr w:type="spellStart"/>
      <w:r w:rsidRPr="007D1E95">
        <w:rPr>
          <w:sz w:val="28"/>
        </w:rPr>
        <w:t>допомогою</w:t>
      </w:r>
      <w:proofErr w:type="spellEnd"/>
      <w:r w:rsidRPr="007D1E95">
        <w:rPr>
          <w:sz w:val="28"/>
        </w:rPr>
        <w:t xml:space="preserve"> </w:t>
      </w:r>
      <w:proofErr w:type="spellStart"/>
      <w:r w:rsidRPr="007D1E95">
        <w:rPr>
          <w:sz w:val="28"/>
        </w:rPr>
        <w:t>презентаційного</w:t>
      </w:r>
      <w:proofErr w:type="spellEnd"/>
      <w:r w:rsidRPr="007D1E95">
        <w:rPr>
          <w:sz w:val="28"/>
        </w:rPr>
        <w:t xml:space="preserve"> </w:t>
      </w:r>
      <w:proofErr w:type="spellStart"/>
      <w:r w:rsidRPr="007D1E95">
        <w:rPr>
          <w:sz w:val="28"/>
        </w:rPr>
        <w:t>програмного</w:t>
      </w:r>
      <w:proofErr w:type="spellEnd"/>
      <w:r w:rsidRPr="007D1E95">
        <w:rPr>
          <w:sz w:val="28"/>
        </w:rPr>
        <w:t xml:space="preserve"> </w:t>
      </w:r>
      <w:proofErr w:type="spellStart"/>
      <w:r w:rsidRPr="007D1E95">
        <w:rPr>
          <w:sz w:val="28"/>
        </w:rPr>
        <w:t>забезпе-чення</w:t>
      </w:r>
      <w:proofErr w:type="spellEnd"/>
      <w:r w:rsidRPr="007D1E95">
        <w:rPr>
          <w:sz w:val="28"/>
          <w:lang w:val="uk-UA"/>
        </w:rPr>
        <w:t xml:space="preserve"> </w:t>
      </w:r>
      <w:r w:rsidRPr="007D1E95">
        <w:rPr>
          <w:sz w:val="28"/>
        </w:rPr>
        <w:t xml:space="preserve">та </w:t>
      </w:r>
      <w:r w:rsidR="00BF677C" w:rsidRPr="007D1E95">
        <w:rPr>
          <w:sz w:val="28"/>
          <w:lang w:val="uk-UA"/>
        </w:rPr>
        <w:t>пошук</w:t>
      </w:r>
      <w:r w:rsidR="00BF677C" w:rsidRPr="007D1E95">
        <w:rPr>
          <w:sz w:val="28"/>
        </w:rPr>
        <w:t xml:space="preserve">, </w:t>
      </w:r>
      <w:proofErr w:type="spellStart"/>
      <w:r w:rsidR="00BF677C" w:rsidRPr="007D1E95">
        <w:rPr>
          <w:sz w:val="28"/>
        </w:rPr>
        <w:t>завантаження</w:t>
      </w:r>
      <w:proofErr w:type="spellEnd"/>
      <w:r w:rsidR="00BF677C" w:rsidRPr="007D1E95">
        <w:rPr>
          <w:sz w:val="28"/>
        </w:rPr>
        <w:t xml:space="preserve">, </w:t>
      </w:r>
      <w:proofErr w:type="spellStart"/>
      <w:r w:rsidR="00BF677C" w:rsidRPr="007D1E95">
        <w:rPr>
          <w:sz w:val="28"/>
        </w:rPr>
        <w:t>встановлення</w:t>
      </w:r>
      <w:proofErr w:type="spellEnd"/>
      <w:r w:rsidR="00BF677C" w:rsidRPr="007D1E95">
        <w:rPr>
          <w:sz w:val="28"/>
        </w:rPr>
        <w:t xml:space="preserve"> </w:t>
      </w:r>
      <w:proofErr w:type="spellStart"/>
      <w:r w:rsidR="00BF677C" w:rsidRPr="007D1E95">
        <w:rPr>
          <w:sz w:val="28"/>
        </w:rPr>
        <w:t>програмного</w:t>
      </w:r>
      <w:proofErr w:type="spellEnd"/>
      <w:r w:rsidR="00BF677C" w:rsidRPr="007D1E95">
        <w:rPr>
          <w:sz w:val="28"/>
        </w:rPr>
        <w:t xml:space="preserve"> </w:t>
      </w:r>
      <w:proofErr w:type="spellStart"/>
      <w:r w:rsidR="00BF677C" w:rsidRPr="007D1E95">
        <w:rPr>
          <w:sz w:val="28"/>
        </w:rPr>
        <w:t>забезпечення</w:t>
      </w:r>
      <w:proofErr w:type="spellEnd"/>
      <w:r w:rsidR="00BF677C" w:rsidRPr="007D1E95">
        <w:rPr>
          <w:sz w:val="28"/>
        </w:rPr>
        <w:t xml:space="preserve">  –</w:t>
      </w:r>
      <w:r w:rsidR="00BF677C" w:rsidRPr="007D1E95">
        <w:rPr>
          <w:sz w:val="28"/>
          <w:lang w:val="uk-UA"/>
        </w:rPr>
        <w:t xml:space="preserve"> по</w:t>
      </w:r>
      <w:r w:rsidR="00BF677C" w:rsidRPr="007D1E95">
        <w:rPr>
          <w:sz w:val="28"/>
        </w:rPr>
        <w:t xml:space="preserve"> </w:t>
      </w:r>
      <w:r w:rsidR="00BF677C" w:rsidRPr="007D1E95">
        <w:rPr>
          <w:sz w:val="28"/>
          <w:lang w:val="uk-UA"/>
        </w:rPr>
        <w:t>15</w:t>
      </w:r>
      <w:r w:rsidR="00BF677C" w:rsidRPr="007D1E95">
        <w:rPr>
          <w:sz w:val="28"/>
        </w:rPr>
        <w:t>%</w:t>
      </w:r>
      <w:r w:rsidR="00BF677C" w:rsidRPr="007D1E95">
        <w:rPr>
          <w:sz w:val="28"/>
          <w:lang w:val="uk-UA"/>
        </w:rPr>
        <w:t xml:space="preserve"> </w:t>
      </w:r>
      <w:r w:rsidR="00BF677C" w:rsidRPr="007D1E95">
        <w:rPr>
          <w:sz w:val="28"/>
        </w:rPr>
        <w:t>(</w:t>
      </w:r>
      <w:r w:rsidR="00BF677C" w:rsidRPr="007D1E95">
        <w:rPr>
          <w:sz w:val="28"/>
          <w:lang w:val="uk-UA"/>
        </w:rPr>
        <w:t>по 13</w:t>
      </w:r>
      <w:r w:rsidR="00BF677C" w:rsidRPr="007D1E95">
        <w:rPr>
          <w:sz w:val="28"/>
        </w:rPr>
        <w:t>%) (</w:t>
      </w:r>
      <w:proofErr w:type="spellStart"/>
      <w:r w:rsidR="00BF677C" w:rsidRPr="007D1E95">
        <w:rPr>
          <w:sz w:val="28"/>
        </w:rPr>
        <w:t>додаток</w:t>
      </w:r>
      <w:proofErr w:type="spellEnd"/>
      <w:r w:rsidR="00BF677C" w:rsidRPr="007D1E95">
        <w:rPr>
          <w:sz w:val="28"/>
        </w:rPr>
        <w:t xml:space="preserve"> 12).</w:t>
      </w:r>
    </w:p>
    <w:p w14:paraId="349DE84B" w14:textId="77777777" w:rsidR="00BF677C" w:rsidRPr="001F4390" w:rsidRDefault="00BF677C" w:rsidP="00BF677C">
      <w:pPr>
        <w:jc w:val="center"/>
        <w:rPr>
          <w:b/>
          <w:sz w:val="22"/>
          <w:szCs w:val="22"/>
        </w:rPr>
      </w:pPr>
    </w:p>
    <w:p w14:paraId="353DAFB9" w14:textId="3A578E18" w:rsidR="00B9248C" w:rsidRPr="006C7B11" w:rsidRDefault="00BF677C" w:rsidP="00682D1F">
      <w:pPr>
        <w:pStyle w:val="a4"/>
        <w:tabs>
          <w:tab w:val="left" w:pos="7088"/>
          <w:tab w:val="left" w:pos="9356"/>
        </w:tabs>
        <w:spacing w:line="276" w:lineRule="auto"/>
        <w:ind w:firstLine="0"/>
        <w:jc w:val="both"/>
        <w:rPr>
          <w:sz w:val="28"/>
          <w:szCs w:val="28"/>
        </w:rPr>
      </w:pPr>
      <w:r w:rsidRPr="001F4390">
        <w:rPr>
          <w:sz w:val="28"/>
        </w:rPr>
        <w:t>Додатки: на 16 аркушах.</w:t>
      </w:r>
    </w:p>
    <w:sectPr w:rsidR="00B9248C" w:rsidRPr="006C7B11" w:rsidSect="008B78D4">
      <w:headerReference w:type="default" r:id="rId15"/>
      <w:footerReference w:type="even" r:id="rId16"/>
      <w:footnotePr>
        <w:numRestart w:val="eachPage"/>
      </w:footnotePr>
      <w:pgSz w:w="11906" w:h="16838"/>
      <w:pgMar w:top="1134" w:right="567" w:bottom="1134" w:left="993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4654C8" w14:textId="77777777" w:rsidR="001B24AD" w:rsidRDefault="001B24AD" w:rsidP="00B735A1">
      <w:r>
        <w:separator/>
      </w:r>
    </w:p>
  </w:endnote>
  <w:endnote w:type="continuationSeparator" w:id="0">
    <w:p w14:paraId="77C6A07D" w14:textId="77777777" w:rsidR="001B24AD" w:rsidRDefault="001B24AD" w:rsidP="00B735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8BC0E4" w14:textId="77777777" w:rsidR="008F3EC4" w:rsidRDefault="0002675E" w:rsidP="00111A9F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5B73BC33" w14:textId="77777777" w:rsidR="008F3EC4" w:rsidRDefault="000442E6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3FDDBC" w14:textId="77777777" w:rsidR="001B24AD" w:rsidRDefault="001B24AD" w:rsidP="00B735A1">
      <w:r>
        <w:separator/>
      </w:r>
    </w:p>
  </w:footnote>
  <w:footnote w:type="continuationSeparator" w:id="0">
    <w:p w14:paraId="0D5B75AE" w14:textId="77777777" w:rsidR="001B24AD" w:rsidRDefault="001B24AD" w:rsidP="00B735A1">
      <w:r>
        <w:continuationSeparator/>
      </w:r>
    </w:p>
  </w:footnote>
  <w:footnote w:id="1">
    <w:p w14:paraId="39574408" w14:textId="77777777" w:rsidR="00B735A1" w:rsidRPr="00B13874" w:rsidRDefault="00B735A1" w:rsidP="00B735A1">
      <w:pPr>
        <w:pStyle w:val="a6"/>
        <w:ind w:firstLine="22"/>
        <w:jc w:val="both"/>
      </w:pPr>
      <w:r w:rsidRPr="00B13874">
        <w:rPr>
          <w:rStyle w:val="a8"/>
        </w:rPr>
        <w:footnoteRef/>
      </w:r>
      <w:r w:rsidRPr="00B13874">
        <w:t xml:space="preserve"> Дані вибіркового обстеження були розповсюджені із застосуванням математичних методів на всі</w:t>
      </w:r>
      <w:r>
        <w:t xml:space="preserve"> неінституційні (приватні)</w:t>
      </w:r>
      <w:r w:rsidRPr="00B13874">
        <w:t xml:space="preserve"> домогосподарства України</w:t>
      </w:r>
      <w:r>
        <w:t xml:space="preserve"> (за виключенням тих, що проживають на</w:t>
      </w:r>
      <w:r w:rsidRPr="00B13874">
        <w:t xml:space="preserve"> тимчасово окупован</w:t>
      </w:r>
      <w:r>
        <w:t>ій</w:t>
      </w:r>
      <w:r w:rsidRPr="00B13874">
        <w:t xml:space="preserve"> території Автономної Республіки Крим, м. Севастополя та частин</w:t>
      </w:r>
      <w:r>
        <w:t>і</w:t>
      </w:r>
      <w:r w:rsidRPr="00B13874">
        <w:t xml:space="preserve"> </w:t>
      </w:r>
      <w:r>
        <w:t>тимчасово окупованих територій у Донецькій та Луганській областях)</w:t>
      </w:r>
      <w:r w:rsidRPr="00B13874">
        <w:t>.</w:t>
      </w:r>
    </w:p>
  </w:footnote>
  <w:footnote w:id="2">
    <w:p w14:paraId="63D9B19A" w14:textId="77777777" w:rsidR="006D6415" w:rsidRPr="00B13874" w:rsidRDefault="006D6415" w:rsidP="006D6415">
      <w:pPr>
        <w:pStyle w:val="a6"/>
        <w:jc w:val="both"/>
      </w:pPr>
      <w:r w:rsidRPr="00B13874">
        <w:rPr>
          <w:rStyle w:val="a8"/>
        </w:rPr>
        <w:footnoteRef/>
      </w:r>
      <w:r w:rsidRPr="00B13874">
        <w:t xml:space="preserve"> Починаючи з 2011р., при розрахунках середньодушових показників, а також показників диференціації    населення  та домогосподарств за рівнем матеріального добробуту відповідно до сучасної міжнародної практики впроваджено використання шкали еквівалентності. Зазначена шкала є системою коефіцієнтів, яка відображає зменшення</w:t>
      </w:r>
      <w:r>
        <w:t xml:space="preserve"> мінімально необхідних потреб</w:t>
      </w:r>
      <w:r w:rsidRPr="00B13874">
        <w:t xml:space="preserve"> одн</w:t>
      </w:r>
      <w:r>
        <w:t xml:space="preserve">ієї особи зі складу </w:t>
      </w:r>
      <w:r w:rsidRPr="00B13874">
        <w:t>домогосподарства при збільшенні розміру домогосподарства та зміні його складу. В Україні зас</w:t>
      </w:r>
      <w:r>
        <w:t xml:space="preserve">тосовується шкала, за якою першій особі у </w:t>
      </w:r>
      <w:r w:rsidRPr="00B13874">
        <w:t>домогосподарств</w:t>
      </w:r>
      <w:r>
        <w:t>і</w:t>
      </w:r>
      <w:r w:rsidRPr="00B13874">
        <w:t xml:space="preserve"> присвоюється коефіцієнт 1, а всім іншим – 0,7.</w:t>
      </w:r>
    </w:p>
  </w:footnote>
  <w:footnote w:id="3">
    <w:p w14:paraId="3AB6A27F" w14:textId="5097C378" w:rsidR="00062CE2" w:rsidRDefault="00062CE2">
      <w:pPr>
        <w:pStyle w:val="a6"/>
      </w:pPr>
      <w:r w:rsidRPr="00F93C51">
        <w:rPr>
          <w:rStyle w:val="a8"/>
        </w:rPr>
        <w:footnoteRef/>
      </w:r>
      <w:r w:rsidRPr="00F93C51">
        <w:t xml:space="preserve"> Модульне опитування щодо самооцінки населенням доступності окремих товарів та послуг проводиться один раз на два роки у жовтні звітного року. У 2020р. це опитування не проводилося.</w:t>
      </w:r>
    </w:p>
  </w:footnote>
  <w:footnote w:id="4">
    <w:p w14:paraId="317F51B7" w14:textId="5BB76EC5" w:rsidR="006C7B11" w:rsidRDefault="006C7B11" w:rsidP="006C7B11">
      <w:pPr>
        <w:pStyle w:val="a6"/>
        <w:jc w:val="both"/>
      </w:pPr>
      <w:r>
        <w:rPr>
          <w:rStyle w:val="a8"/>
        </w:rPr>
        <w:footnoteRef/>
      </w:r>
      <w:r>
        <w:t xml:space="preserve"> Базовий список позбавлень (депривацій) був визначений Держстатом України за участю фахівців Інституту демографії та соціальних досліджень ім. М. В. Птухи Національної академії наук України за даними опитування у жовтні 2007р. (18 ознак). З метою гармонізації з програмою Європейського обстеження доходів та умов життя (</w:t>
      </w:r>
      <w:r>
        <w:rPr>
          <w:lang w:val="en-US"/>
        </w:rPr>
        <w:t>EU</w:t>
      </w:r>
      <w:r w:rsidRPr="0045181D">
        <w:rPr>
          <w:lang w:val="ru-RU"/>
        </w:rPr>
        <w:t>-</w:t>
      </w:r>
      <w:r>
        <w:rPr>
          <w:lang w:val="en-US"/>
        </w:rPr>
        <w:t>SILC</w:t>
      </w:r>
      <w:r>
        <w:t xml:space="preserve">), починаючи з 2013р., програма опитування була доповнена 6 новими, а з 2015р. – 9 новими ознаками (див. додаток </w:t>
      </w:r>
      <w:r w:rsidR="00D7673F" w:rsidRPr="00D7673F">
        <w:rPr>
          <w:lang w:val="ru-RU"/>
        </w:rPr>
        <w:t>3</w:t>
      </w:r>
      <w:r>
        <w:t>).</w:t>
      </w:r>
    </w:p>
  </w:footnote>
  <w:footnote w:id="5">
    <w:p w14:paraId="627A42AB" w14:textId="77777777" w:rsidR="00BF677C" w:rsidRDefault="00BF677C" w:rsidP="00DA32EB">
      <w:pPr>
        <w:pStyle w:val="a4"/>
        <w:ind w:firstLine="0"/>
        <w:jc w:val="both"/>
        <w:rPr>
          <w:sz w:val="20"/>
        </w:rPr>
      </w:pPr>
      <w:r>
        <w:rPr>
          <w:rStyle w:val="a8"/>
        </w:rPr>
        <w:footnoteRef/>
      </w:r>
      <w:r>
        <w:t xml:space="preserve"> </w:t>
      </w:r>
      <w:r w:rsidRPr="00F853B1">
        <w:rPr>
          <w:sz w:val="20"/>
        </w:rPr>
        <w:t>Особа вважається такою, що живе в перенаселеному житлі</w:t>
      </w:r>
      <w:r w:rsidRPr="00794978">
        <w:rPr>
          <w:sz w:val="20"/>
        </w:rPr>
        <w:t>, якщо домогосподарство, членом якого вона є, не має у своєму розпорядженні мінімум необхідних кімнат, рівний: одна кімната для домогосподарства; одна кімната для пари в домогосподарстві; одна кімната для кожної особи у віці 18 років і більше; одна кімната для пари осіб однієї статі у віці від 12 до 17 років; одна кімната для кожної особи у віці 12-17 років, яка не включена до попередньої категорії; одна кімната для пари  дітей віком до 12 років.</w:t>
      </w:r>
      <w:r w:rsidRPr="00150E25">
        <w:rPr>
          <w:sz w:val="20"/>
        </w:rPr>
        <w:t xml:space="preserve"> </w:t>
      </w:r>
      <w:r>
        <w:rPr>
          <w:sz w:val="20"/>
        </w:rPr>
        <w:t xml:space="preserve"> </w:t>
      </w:r>
      <w:r w:rsidRPr="00150E25">
        <w:rPr>
          <w:sz w:val="20"/>
        </w:rPr>
        <w:t>Дж</w:t>
      </w:r>
      <w:r>
        <w:rPr>
          <w:sz w:val="20"/>
        </w:rPr>
        <w:t>ерело</w:t>
      </w:r>
      <w:r w:rsidRPr="00150E25">
        <w:rPr>
          <w:sz w:val="20"/>
        </w:rPr>
        <w:t xml:space="preserve"> сайт</w:t>
      </w:r>
      <w:r>
        <w:rPr>
          <w:sz w:val="20"/>
        </w:rPr>
        <w:t xml:space="preserve"> Євростату: </w:t>
      </w:r>
    </w:p>
    <w:p w14:paraId="075C8652" w14:textId="77777777" w:rsidR="00BF677C" w:rsidRPr="00DA32EB" w:rsidRDefault="000442E6" w:rsidP="00BF677C">
      <w:pPr>
        <w:pStyle w:val="a6"/>
      </w:pPr>
      <w:hyperlink r:id="rId1" w:history="1">
        <w:r w:rsidR="00BF677C" w:rsidRPr="00DA32EB">
          <w:rPr>
            <w:rStyle w:val="af7"/>
            <w:color w:val="auto"/>
            <w:u w:val="none"/>
          </w:rPr>
          <w:t>http://ec.europa.eu/eurostat/statistics-explained/index.php/EU_statistics_on_income_and_living_conditions_(EU-SILC)_methodology</w:t>
        </w:r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48366868"/>
      <w:docPartObj>
        <w:docPartGallery w:val="Page Numbers (Top of Page)"/>
        <w:docPartUnique/>
      </w:docPartObj>
    </w:sdtPr>
    <w:sdtEndPr/>
    <w:sdtContent>
      <w:p w14:paraId="3C487B4A" w14:textId="77777777" w:rsidR="00840ED9" w:rsidRDefault="0002675E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22EF">
          <w:rPr>
            <w:noProof/>
          </w:rPr>
          <w:t>13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296D88"/>
    <w:multiLevelType w:val="hybridMultilevel"/>
    <w:tmpl w:val="8F1237EA"/>
    <w:lvl w:ilvl="0" w:tplc="04190001">
      <w:start w:val="1"/>
      <w:numFmt w:val="bullet"/>
      <w:lvlText w:val=""/>
      <w:lvlJc w:val="left"/>
      <w:pPr>
        <w:tabs>
          <w:tab w:val="num" w:pos="1350"/>
        </w:tabs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1">
    <w:nsid w:val="538E4504"/>
    <w:multiLevelType w:val="hybridMultilevel"/>
    <w:tmpl w:val="FF8AF374"/>
    <w:lvl w:ilvl="0" w:tplc="8630505A">
      <w:start w:val="1"/>
      <w:numFmt w:val="bullet"/>
      <w:lvlText w:val=""/>
      <w:lvlJc w:val="left"/>
      <w:pPr>
        <w:tabs>
          <w:tab w:val="num" w:pos="1400"/>
        </w:tabs>
        <w:ind w:left="1400" w:hanging="113"/>
      </w:pPr>
      <w:rPr>
        <w:rFonts w:ascii="Symbol" w:hAnsi="Symbol" w:hint="default"/>
      </w:rPr>
    </w:lvl>
    <w:lvl w:ilvl="1" w:tplc="5C48899E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7C437A7E"/>
    <w:multiLevelType w:val="hybridMultilevel"/>
    <w:tmpl w:val="DFCA0A84"/>
    <w:lvl w:ilvl="0" w:tplc="CCEACBBC">
      <w:start w:val="1"/>
      <w:numFmt w:val="decimal"/>
      <w:lvlText w:val="%1)"/>
      <w:lvlJc w:val="left"/>
      <w:pPr>
        <w:ind w:left="1108" w:hanging="360"/>
      </w:pPr>
      <w:rPr>
        <w:rFonts w:hint="default"/>
        <w:color w:val="222222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828" w:hanging="360"/>
      </w:pPr>
    </w:lvl>
    <w:lvl w:ilvl="2" w:tplc="0422001B" w:tentative="1">
      <w:start w:val="1"/>
      <w:numFmt w:val="lowerRoman"/>
      <w:lvlText w:val="%3."/>
      <w:lvlJc w:val="right"/>
      <w:pPr>
        <w:ind w:left="2548" w:hanging="180"/>
      </w:pPr>
    </w:lvl>
    <w:lvl w:ilvl="3" w:tplc="0422000F" w:tentative="1">
      <w:start w:val="1"/>
      <w:numFmt w:val="decimal"/>
      <w:lvlText w:val="%4."/>
      <w:lvlJc w:val="left"/>
      <w:pPr>
        <w:ind w:left="3268" w:hanging="360"/>
      </w:pPr>
    </w:lvl>
    <w:lvl w:ilvl="4" w:tplc="04220019" w:tentative="1">
      <w:start w:val="1"/>
      <w:numFmt w:val="lowerLetter"/>
      <w:lvlText w:val="%5."/>
      <w:lvlJc w:val="left"/>
      <w:pPr>
        <w:ind w:left="3988" w:hanging="360"/>
      </w:pPr>
    </w:lvl>
    <w:lvl w:ilvl="5" w:tplc="0422001B" w:tentative="1">
      <w:start w:val="1"/>
      <w:numFmt w:val="lowerRoman"/>
      <w:lvlText w:val="%6."/>
      <w:lvlJc w:val="right"/>
      <w:pPr>
        <w:ind w:left="4708" w:hanging="180"/>
      </w:pPr>
    </w:lvl>
    <w:lvl w:ilvl="6" w:tplc="0422000F" w:tentative="1">
      <w:start w:val="1"/>
      <w:numFmt w:val="decimal"/>
      <w:lvlText w:val="%7."/>
      <w:lvlJc w:val="left"/>
      <w:pPr>
        <w:ind w:left="5428" w:hanging="360"/>
      </w:pPr>
    </w:lvl>
    <w:lvl w:ilvl="7" w:tplc="04220019" w:tentative="1">
      <w:start w:val="1"/>
      <w:numFmt w:val="lowerLetter"/>
      <w:lvlText w:val="%8."/>
      <w:lvlJc w:val="left"/>
      <w:pPr>
        <w:ind w:left="6148" w:hanging="360"/>
      </w:pPr>
    </w:lvl>
    <w:lvl w:ilvl="8" w:tplc="0422001B" w:tentative="1">
      <w:start w:val="1"/>
      <w:numFmt w:val="lowerRoman"/>
      <w:lvlText w:val="%9."/>
      <w:lvlJc w:val="right"/>
      <w:pPr>
        <w:ind w:left="686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hideSpellingErrors/>
  <w:hideGrammaticalErrors/>
  <w:proofState w:spelling="clean" w:grammar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5A1"/>
    <w:rsid w:val="00003EB5"/>
    <w:rsid w:val="00005BB6"/>
    <w:rsid w:val="000067DF"/>
    <w:rsid w:val="000110CD"/>
    <w:rsid w:val="00012078"/>
    <w:rsid w:val="00015D34"/>
    <w:rsid w:val="00021BE6"/>
    <w:rsid w:val="00023559"/>
    <w:rsid w:val="00026714"/>
    <w:rsid w:val="0002675E"/>
    <w:rsid w:val="00026C13"/>
    <w:rsid w:val="00027BA6"/>
    <w:rsid w:val="00027D51"/>
    <w:rsid w:val="00032F3A"/>
    <w:rsid w:val="0004596D"/>
    <w:rsid w:val="00047A2F"/>
    <w:rsid w:val="00047C28"/>
    <w:rsid w:val="00054F3E"/>
    <w:rsid w:val="00056EA6"/>
    <w:rsid w:val="00062CE2"/>
    <w:rsid w:val="00073A49"/>
    <w:rsid w:val="00074D80"/>
    <w:rsid w:val="000803F2"/>
    <w:rsid w:val="000823A3"/>
    <w:rsid w:val="0008432C"/>
    <w:rsid w:val="00086657"/>
    <w:rsid w:val="000866A1"/>
    <w:rsid w:val="00087F05"/>
    <w:rsid w:val="00094D70"/>
    <w:rsid w:val="000953A1"/>
    <w:rsid w:val="000B1052"/>
    <w:rsid w:val="000C1AED"/>
    <w:rsid w:val="000C314A"/>
    <w:rsid w:val="000E00AF"/>
    <w:rsid w:val="000E0C16"/>
    <w:rsid w:val="000F17B9"/>
    <w:rsid w:val="000F25D3"/>
    <w:rsid w:val="001062E8"/>
    <w:rsid w:val="0011216D"/>
    <w:rsid w:val="0012108C"/>
    <w:rsid w:val="00126457"/>
    <w:rsid w:val="001305D9"/>
    <w:rsid w:val="00135EC5"/>
    <w:rsid w:val="00142CEA"/>
    <w:rsid w:val="00143171"/>
    <w:rsid w:val="00144DFC"/>
    <w:rsid w:val="00152038"/>
    <w:rsid w:val="0015541E"/>
    <w:rsid w:val="00157A93"/>
    <w:rsid w:val="00173E77"/>
    <w:rsid w:val="001760F7"/>
    <w:rsid w:val="00177D7A"/>
    <w:rsid w:val="00186DF1"/>
    <w:rsid w:val="00191790"/>
    <w:rsid w:val="00197253"/>
    <w:rsid w:val="001A1978"/>
    <w:rsid w:val="001A3D72"/>
    <w:rsid w:val="001A67C4"/>
    <w:rsid w:val="001B215C"/>
    <w:rsid w:val="001B24AD"/>
    <w:rsid w:val="001B6345"/>
    <w:rsid w:val="001C2F37"/>
    <w:rsid w:val="001C71D6"/>
    <w:rsid w:val="001D4714"/>
    <w:rsid w:val="001D55D3"/>
    <w:rsid w:val="001E4025"/>
    <w:rsid w:val="001E7DBF"/>
    <w:rsid w:val="001E7E11"/>
    <w:rsid w:val="001F4390"/>
    <w:rsid w:val="001F7B48"/>
    <w:rsid w:val="00203430"/>
    <w:rsid w:val="002165B7"/>
    <w:rsid w:val="002175C6"/>
    <w:rsid w:val="00222EB6"/>
    <w:rsid w:val="00236194"/>
    <w:rsid w:val="002443C0"/>
    <w:rsid w:val="0026743C"/>
    <w:rsid w:val="00280588"/>
    <w:rsid w:val="00280B5C"/>
    <w:rsid w:val="00283B62"/>
    <w:rsid w:val="00284027"/>
    <w:rsid w:val="0029047C"/>
    <w:rsid w:val="00292DA9"/>
    <w:rsid w:val="00292DBE"/>
    <w:rsid w:val="002A2461"/>
    <w:rsid w:val="002A2B74"/>
    <w:rsid w:val="002A6897"/>
    <w:rsid w:val="002B2BB0"/>
    <w:rsid w:val="002C1835"/>
    <w:rsid w:val="002D13BB"/>
    <w:rsid w:val="002E4861"/>
    <w:rsid w:val="002F1F48"/>
    <w:rsid w:val="002F3A33"/>
    <w:rsid w:val="002F79E6"/>
    <w:rsid w:val="0030792B"/>
    <w:rsid w:val="00326C79"/>
    <w:rsid w:val="00326CFF"/>
    <w:rsid w:val="003450F9"/>
    <w:rsid w:val="00345CF8"/>
    <w:rsid w:val="00347568"/>
    <w:rsid w:val="00347A37"/>
    <w:rsid w:val="00351548"/>
    <w:rsid w:val="00355CD6"/>
    <w:rsid w:val="003562B9"/>
    <w:rsid w:val="00362D0E"/>
    <w:rsid w:val="003636B6"/>
    <w:rsid w:val="003649DE"/>
    <w:rsid w:val="00367E2D"/>
    <w:rsid w:val="00376C41"/>
    <w:rsid w:val="00383818"/>
    <w:rsid w:val="0038661E"/>
    <w:rsid w:val="003945EF"/>
    <w:rsid w:val="003A4885"/>
    <w:rsid w:val="003C078B"/>
    <w:rsid w:val="003C245D"/>
    <w:rsid w:val="003C6B5F"/>
    <w:rsid w:val="003C7BF3"/>
    <w:rsid w:val="003D0385"/>
    <w:rsid w:val="003D2C39"/>
    <w:rsid w:val="003E0E01"/>
    <w:rsid w:val="003E2273"/>
    <w:rsid w:val="003E2720"/>
    <w:rsid w:val="003F1DDE"/>
    <w:rsid w:val="003F1EC9"/>
    <w:rsid w:val="004200FD"/>
    <w:rsid w:val="00420E1A"/>
    <w:rsid w:val="0042622E"/>
    <w:rsid w:val="00450CE9"/>
    <w:rsid w:val="0045233D"/>
    <w:rsid w:val="00453981"/>
    <w:rsid w:val="00453C7D"/>
    <w:rsid w:val="004611AF"/>
    <w:rsid w:val="00464716"/>
    <w:rsid w:val="004671A9"/>
    <w:rsid w:val="00471188"/>
    <w:rsid w:val="0047118F"/>
    <w:rsid w:val="004742E9"/>
    <w:rsid w:val="00475387"/>
    <w:rsid w:val="00477DBD"/>
    <w:rsid w:val="00484C1D"/>
    <w:rsid w:val="00486385"/>
    <w:rsid w:val="004A1A3B"/>
    <w:rsid w:val="004A241E"/>
    <w:rsid w:val="004A2A9F"/>
    <w:rsid w:val="004B0EB9"/>
    <w:rsid w:val="004B2E1A"/>
    <w:rsid w:val="004B331A"/>
    <w:rsid w:val="004B5410"/>
    <w:rsid w:val="004C6198"/>
    <w:rsid w:val="004C63E5"/>
    <w:rsid w:val="004D1F4D"/>
    <w:rsid w:val="004D3E56"/>
    <w:rsid w:val="004D764F"/>
    <w:rsid w:val="004E1DEC"/>
    <w:rsid w:val="004E5839"/>
    <w:rsid w:val="004F58D7"/>
    <w:rsid w:val="004F76A6"/>
    <w:rsid w:val="0051657D"/>
    <w:rsid w:val="00516C56"/>
    <w:rsid w:val="00517225"/>
    <w:rsid w:val="00531EC2"/>
    <w:rsid w:val="0054419A"/>
    <w:rsid w:val="00553770"/>
    <w:rsid w:val="0056266F"/>
    <w:rsid w:val="00570048"/>
    <w:rsid w:val="0057183E"/>
    <w:rsid w:val="00580DEC"/>
    <w:rsid w:val="005810BC"/>
    <w:rsid w:val="005816AA"/>
    <w:rsid w:val="00590AC3"/>
    <w:rsid w:val="00591E34"/>
    <w:rsid w:val="00593961"/>
    <w:rsid w:val="005A2FD2"/>
    <w:rsid w:val="005A60C7"/>
    <w:rsid w:val="005A768C"/>
    <w:rsid w:val="005B25D6"/>
    <w:rsid w:val="005B2CE5"/>
    <w:rsid w:val="005B2EFA"/>
    <w:rsid w:val="005C298F"/>
    <w:rsid w:val="005D6F73"/>
    <w:rsid w:val="005E0446"/>
    <w:rsid w:val="005E3294"/>
    <w:rsid w:val="005E35E7"/>
    <w:rsid w:val="005E39CD"/>
    <w:rsid w:val="005E4643"/>
    <w:rsid w:val="005E5AC7"/>
    <w:rsid w:val="005F3D5C"/>
    <w:rsid w:val="006003A0"/>
    <w:rsid w:val="00607B2E"/>
    <w:rsid w:val="006221E6"/>
    <w:rsid w:val="006241FF"/>
    <w:rsid w:val="0063389F"/>
    <w:rsid w:val="00634EFF"/>
    <w:rsid w:val="00641431"/>
    <w:rsid w:val="0064222D"/>
    <w:rsid w:val="006545C9"/>
    <w:rsid w:val="00657871"/>
    <w:rsid w:val="00662071"/>
    <w:rsid w:val="00680E40"/>
    <w:rsid w:val="00682D1F"/>
    <w:rsid w:val="00683D22"/>
    <w:rsid w:val="00684457"/>
    <w:rsid w:val="00692D00"/>
    <w:rsid w:val="0069670F"/>
    <w:rsid w:val="006972D5"/>
    <w:rsid w:val="00697AE3"/>
    <w:rsid w:val="006A2DA7"/>
    <w:rsid w:val="006A5C2C"/>
    <w:rsid w:val="006B349B"/>
    <w:rsid w:val="006B54BD"/>
    <w:rsid w:val="006B56F4"/>
    <w:rsid w:val="006B6D32"/>
    <w:rsid w:val="006C77AD"/>
    <w:rsid w:val="006C7B11"/>
    <w:rsid w:val="006D1FF1"/>
    <w:rsid w:val="006D33C2"/>
    <w:rsid w:val="006D6415"/>
    <w:rsid w:val="006D7A84"/>
    <w:rsid w:val="006E2998"/>
    <w:rsid w:val="006E2C0B"/>
    <w:rsid w:val="006E6023"/>
    <w:rsid w:val="006E6911"/>
    <w:rsid w:val="007013D4"/>
    <w:rsid w:val="00703B22"/>
    <w:rsid w:val="00706622"/>
    <w:rsid w:val="00715525"/>
    <w:rsid w:val="007168CD"/>
    <w:rsid w:val="00721B55"/>
    <w:rsid w:val="007320FB"/>
    <w:rsid w:val="00741357"/>
    <w:rsid w:val="00747094"/>
    <w:rsid w:val="007552BC"/>
    <w:rsid w:val="007638C2"/>
    <w:rsid w:val="0076554B"/>
    <w:rsid w:val="007821B9"/>
    <w:rsid w:val="00792C41"/>
    <w:rsid w:val="00796776"/>
    <w:rsid w:val="007A19BC"/>
    <w:rsid w:val="007A6459"/>
    <w:rsid w:val="007A68C7"/>
    <w:rsid w:val="007B0659"/>
    <w:rsid w:val="007B272B"/>
    <w:rsid w:val="007C1FC4"/>
    <w:rsid w:val="007D1E95"/>
    <w:rsid w:val="007D3C82"/>
    <w:rsid w:val="007D7A5F"/>
    <w:rsid w:val="007E2372"/>
    <w:rsid w:val="007E5416"/>
    <w:rsid w:val="007E5947"/>
    <w:rsid w:val="007E5A11"/>
    <w:rsid w:val="007E683E"/>
    <w:rsid w:val="007F0405"/>
    <w:rsid w:val="007F164B"/>
    <w:rsid w:val="007F71EE"/>
    <w:rsid w:val="00801877"/>
    <w:rsid w:val="00802039"/>
    <w:rsid w:val="00803849"/>
    <w:rsid w:val="00805B66"/>
    <w:rsid w:val="008110C8"/>
    <w:rsid w:val="0082437F"/>
    <w:rsid w:val="008503C9"/>
    <w:rsid w:val="00853DC4"/>
    <w:rsid w:val="008544D0"/>
    <w:rsid w:val="00855DC2"/>
    <w:rsid w:val="008565EE"/>
    <w:rsid w:val="008567A5"/>
    <w:rsid w:val="00863BC5"/>
    <w:rsid w:val="008648C9"/>
    <w:rsid w:val="008700EF"/>
    <w:rsid w:val="00872F5A"/>
    <w:rsid w:val="0087724F"/>
    <w:rsid w:val="0088040C"/>
    <w:rsid w:val="00884B1E"/>
    <w:rsid w:val="008868AB"/>
    <w:rsid w:val="008906D8"/>
    <w:rsid w:val="00891302"/>
    <w:rsid w:val="008A04A0"/>
    <w:rsid w:val="008A31DD"/>
    <w:rsid w:val="008A4430"/>
    <w:rsid w:val="008A5540"/>
    <w:rsid w:val="008B3FFD"/>
    <w:rsid w:val="008B78D4"/>
    <w:rsid w:val="008C7C7F"/>
    <w:rsid w:val="008D2090"/>
    <w:rsid w:val="008D20A9"/>
    <w:rsid w:val="008D3118"/>
    <w:rsid w:val="008D6D32"/>
    <w:rsid w:val="008E2E9D"/>
    <w:rsid w:val="00900BFD"/>
    <w:rsid w:val="0090280E"/>
    <w:rsid w:val="00904725"/>
    <w:rsid w:val="00907F6B"/>
    <w:rsid w:val="00911C5F"/>
    <w:rsid w:val="00912D9C"/>
    <w:rsid w:val="00915CD1"/>
    <w:rsid w:val="00920D5F"/>
    <w:rsid w:val="0092151E"/>
    <w:rsid w:val="009275B1"/>
    <w:rsid w:val="00933766"/>
    <w:rsid w:val="00936901"/>
    <w:rsid w:val="009374C7"/>
    <w:rsid w:val="0094638A"/>
    <w:rsid w:val="00950B8F"/>
    <w:rsid w:val="009537F3"/>
    <w:rsid w:val="00954F26"/>
    <w:rsid w:val="00957481"/>
    <w:rsid w:val="009755BE"/>
    <w:rsid w:val="0097764A"/>
    <w:rsid w:val="00986F93"/>
    <w:rsid w:val="0099166B"/>
    <w:rsid w:val="009966C2"/>
    <w:rsid w:val="009A1B52"/>
    <w:rsid w:val="009C176A"/>
    <w:rsid w:val="009C61DC"/>
    <w:rsid w:val="009C7FF7"/>
    <w:rsid w:val="009D0E12"/>
    <w:rsid w:val="009D702A"/>
    <w:rsid w:val="009E22EF"/>
    <w:rsid w:val="009E28DE"/>
    <w:rsid w:val="009E5A42"/>
    <w:rsid w:val="009E7CA5"/>
    <w:rsid w:val="009F18A6"/>
    <w:rsid w:val="009F2893"/>
    <w:rsid w:val="009F3B1A"/>
    <w:rsid w:val="009F3CB7"/>
    <w:rsid w:val="00A000A2"/>
    <w:rsid w:val="00A1034F"/>
    <w:rsid w:val="00A12F8B"/>
    <w:rsid w:val="00A1315B"/>
    <w:rsid w:val="00A215D8"/>
    <w:rsid w:val="00A22E33"/>
    <w:rsid w:val="00A26B73"/>
    <w:rsid w:val="00A4185A"/>
    <w:rsid w:val="00A4501F"/>
    <w:rsid w:val="00A5005C"/>
    <w:rsid w:val="00A502B1"/>
    <w:rsid w:val="00A50F7E"/>
    <w:rsid w:val="00A51F21"/>
    <w:rsid w:val="00A56C30"/>
    <w:rsid w:val="00A61581"/>
    <w:rsid w:val="00A63AA1"/>
    <w:rsid w:val="00A643E4"/>
    <w:rsid w:val="00A727E9"/>
    <w:rsid w:val="00A87FDD"/>
    <w:rsid w:val="00A913F4"/>
    <w:rsid w:val="00AA15D5"/>
    <w:rsid w:val="00AB0A76"/>
    <w:rsid w:val="00AC17BD"/>
    <w:rsid w:val="00AC1E2D"/>
    <w:rsid w:val="00AD223A"/>
    <w:rsid w:val="00AE0A8E"/>
    <w:rsid w:val="00AE0F4D"/>
    <w:rsid w:val="00AF426D"/>
    <w:rsid w:val="00AF6858"/>
    <w:rsid w:val="00AF7A18"/>
    <w:rsid w:val="00B00C9D"/>
    <w:rsid w:val="00B026DE"/>
    <w:rsid w:val="00B04666"/>
    <w:rsid w:val="00B205F5"/>
    <w:rsid w:val="00B23955"/>
    <w:rsid w:val="00B250B4"/>
    <w:rsid w:val="00B26E25"/>
    <w:rsid w:val="00B408A4"/>
    <w:rsid w:val="00B42547"/>
    <w:rsid w:val="00B472F9"/>
    <w:rsid w:val="00B5265A"/>
    <w:rsid w:val="00B531DB"/>
    <w:rsid w:val="00B54D72"/>
    <w:rsid w:val="00B563F4"/>
    <w:rsid w:val="00B651A6"/>
    <w:rsid w:val="00B67D8B"/>
    <w:rsid w:val="00B72695"/>
    <w:rsid w:val="00B735A1"/>
    <w:rsid w:val="00B84B14"/>
    <w:rsid w:val="00B86947"/>
    <w:rsid w:val="00B9248C"/>
    <w:rsid w:val="00BA3718"/>
    <w:rsid w:val="00BA400D"/>
    <w:rsid w:val="00BA705F"/>
    <w:rsid w:val="00BA772D"/>
    <w:rsid w:val="00BC0EB9"/>
    <w:rsid w:val="00BD3041"/>
    <w:rsid w:val="00BD5FBB"/>
    <w:rsid w:val="00BD744D"/>
    <w:rsid w:val="00BF677C"/>
    <w:rsid w:val="00C00085"/>
    <w:rsid w:val="00C05EA9"/>
    <w:rsid w:val="00C15F76"/>
    <w:rsid w:val="00C1612E"/>
    <w:rsid w:val="00C20BDD"/>
    <w:rsid w:val="00C237D9"/>
    <w:rsid w:val="00C2685E"/>
    <w:rsid w:val="00C32304"/>
    <w:rsid w:val="00C356E0"/>
    <w:rsid w:val="00C400B0"/>
    <w:rsid w:val="00C5128D"/>
    <w:rsid w:val="00C523A0"/>
    <w:rsid w:val="00C61772"/>
    <w:rsid w:val="00C61FFB"/>
    <w:rsid w:val="00C62959"/>
    <w:rsid w:val="00C63618"/>
    <w:rsid w:val="00C657EC"/>
    <w:rsid w:val="00C6728B"/>
    <w:rsid w:val="00C67A47"/>
    <w:rsid w:val="00C71C3F"/>
    <w:rsid w:val="00C74191"/>
    <w:rsid w:val="00C74820"/>
    <w:rsid w:val="00C751F1"/>
    <w:rsid w:val="00C851D8"/>
    <w:rsid w:val="00C961EE"/>
    <w:rsid w:val="00C968C0"/>
    <w:rsid w:val="00CA1FC0"/>
    <w:rsid w:val="00CA295A"/>
    <w:rsid w:val="00CA53F9"/>
    <w:rsid w:val="00CA709D"/>
    <w:rsid w:val="00CB1098"/>
    <w:rsid w:val="00CB20A4"/>
    <w:rsid w:val="00CB5AB9"/>
    <w:rsid w:val="00CB5F78"/>
    <w:rsid w:val="00CC0A76"/>
    <w:rsid w:val="00CD179E"/>
    <w:rsid w:val="00CD1B70"/>
    <w:rsid w:val="00CD46C4"/>
    <w:rsid w:val="00CE264B"/>
    <w:rsid w:val="00CE27F1"/>
    <w:rsid w:val="00CE2CE7"/>
    <w:rsid w:val="00CE43E7"/>
    <w:rsid w:val="00CF320E"/>
    <w:rsid w:val="00CF7DAE"/>
    <w:rsid w:val="00D02318"/>
    <w:rsid w:val="00D0408A"/>
    <w:rsid w:val="00D11261"/>
    <w:rsid w:val="00D14578"/>
    <w:rsid w:val="00D26E8A"/>
    <w:rsid w:val="00D31863"/>
    <w:rsid w:val="00D330AB"/>
    <w:rsid w:val="00D34BE3"/>
    <w:rsid w:val="00D35D3B"/>
    <w:rsid w:val="00D40FB1"/>
    <w:rsid w:val="00D43C7B"/>
    <w:rsid w:val="00D5192E"/>
    <w:rsid w:val="00D52E6A"/>
    <w:rsid w:val="00D564FB"/>
    <w:rsid w:val="00D57B7C"/>
    <w:rsid w:val="00D62ADA"/>
    <w:rsid w:val="00D71490"/>
    <w:rsid w:val="00D72960"/>
    <w:rsid w:val="00D7673F"/>
    <w:rsid w:val="00D800A1"/>
    <w:rsid w:val="00D95DF5"/>
    <w:rsid w:val="00DA32EB"/>
    <w:rsid w:val="00DA4CC1"/>
    <w:rsid w:val="00DA68D2"/>
    <w:rsid w:val="00DB00E7"/>
    <w:rsid w:val="00DB1962"/>
    <w:rsid w:val="00DB2271"/>
    <w:rsid w:val="00DC1914"/>
    <w:rsid w:val="00DD39DD"/>
    <w:rsid w:val="00DE2D0B"/>
    <w:rsid w:val="00DE7F3B"/>
    <w:rsid w:val="00DF0266"/>
    <w:rsid w:val="00DF4FA1"/>
    <w:rsid w:val="00E0497E"/>
    <w:rsid w:val="00E06FCB"/>
    <w:rsid w:val="00E0706D"/>
    <w:rsid w:val="00E12210"/>
    <w:rsid w:val="00E14FB7"/>
    <w:rsid w:val="00E1624F"/>
    <w:rsid w:val="00E17375"/>
    <w:rsid w:val="00E260BE"/>
    <w:rsid w:val="00E31473"/>
    <w:rsid w:val="00E36CC1"/>
    <w:rsid w:val="00E4065B"/>
    <w:rsid w:val="00E54946"/>
    <w:rsid w:val="00E54A48"/>
    <w:rsid w:val="00E779E6"/>
    <w:rsid w:val="00E801C0"/>
    <w:rsid w:val="00E91385"/>
    <w:rsid w:val="00E91B47"/>
    <w:rsid w:val="00EA0456"/>
    <w:rsid w:val="00EA3CD8"/>
    <w:rsid w:val="00EA41B7"/>
    <w:rsid w:val="00EA4BB1"/>
    <w:rsid w:val="00EB27B1"/>
    <w:rsid w:val="00EC188E"/>
    <w:rsid w:val="00EC6208"/>
    <w:rsid w:val="00EE0B05"/>
    <w:rsid w:val="00EE4B5B"/>
    <w:rsid w:val="00EE4DDF"/>
    <w:rsid w:val="00F033C8"/>
    <w:rsid w:val="00F07789"/>
    <w:rsid w:val="00F156C5"/>
    <w:rsid w:val="00F15DD1"/>
    <w:rsid w:val="00F22281"/>
    <w:rsid w:val="00F233A0"/>
    <w:rsid w:val="00F2416B"/>
    <w:rsid w:val="00F27C9E"/>
    <w:rsid w:val="00F35EB8"/>
    <w:rsid w:val="00F40067"/>
    <w:rsid w:val="00F540B1"/>
    <w:rsid w:val="00F61EA1"/>
    <w:rsid w:val="00F62D8B"/>
    <w:rsid w:val="00F667FE"/>
    <w:rsid w:val="00F67509"/>
    <w:rsid w:val="00F74105"/>
    <w:rsid w:val="00F77B56"/>
    <w:rsid w:val="00F80A93"/>
    <w:rsid w:val="00F80D96"/>
    <w:rsid w:val="00F825D1"/>
    <w:rsid w:val="00F8289B"/>
    <w:rsid w:val="00F84545"/>
    <w:rsid w:val="00F853B1"/>
    <w:rsid w:val="00F90FF2"/>
    <w:rsid w:val="00F91954"/>
    <w:rsid w:val="00F9287A"/>
    <w:rsid w:val="00F93C51"/>
    <w:rsid w:val="00FB6734"/>
    <w:rsid w:val="00FC070F"/>
    <w:rsid w:val="00FC1CE3"/>
    <w:rsid w:val="00FC459D"/>
    <w:rsid w:val="00FD31E9"/>
    <w:rsid w:val="00FD55AE"/>
    <w:rsid w:val="00FE478F"/>
    <w:rsid w:val="00FF2020"/>
    <w:rsid w:val="00FF41C7"/>
    <w:rsid w:val="00FF4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A0903"/>
  <w15:docId w15:val="{0540BE5C-5276-4D51-9A45-25D1E49A6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35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735A1"/>
    <w:pPr>
      <w:keepNext/>
      <w:ind w:firstLine="720"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B735A1"/>
    <w:pPr>
      <w:keepNext/>
      <w:ind w:firstLine="720"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735A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735A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"/>
    <w:basedOn w:val="a"/>
    <w:rsid w:val="00B735A1"/>
    <w:rPr>
      <w:rFonts w:ascii="Verdana" w:hAnsi="Verdana" w:cs="Verdana"/>
      <w:lang w:val="en-US" w:eastAsia="en-US"/>
    </w:rPr>
  </w:style>
  <w:style w:type="paragraph" w:styleId="a4">
    <w:name w:val="Body Text Indent"/>
    <w:basedOn w:val="a"/>
    <w:link w:val="a5"/>
    <w:rsid w:val="00B735A1"/>
    <w:pPr>
      <w:ind w:firstLine="720"/>
    </w:pPr>
    <w:rPr>
      <w:sz w:val="24"/>
    </w:rPr>
  </w:style>
  <w:style w:type="character" w:customStyle="1" w:styleId="a5">
    <w:name w:val="Основной текст с отступом Знак"/>
    <w:basedOn w:val="a0"/>
    <w:link w:val="a4"/>
    <w:rsid w:val="00B735A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Indent 3"/>
    <w:basedOn w:val="a"/>
    <w:link w:val="30"/>
    <w:rsid w:val="00B735A1"/>
    <w:pPr>
      <w:ind w:firstLine="851"/>
      <w:jc w:val="center"/>
    </w:pPr>
    <w:rPr>
      <w:b/>
      <w:i/>
      <w:sz w:val="32"/>
    </w:rPr>
  </w:style>
  <w:style w:type="character" w:customStyle="1" w:styleId="30">
    <w:name w:val="Основной текст с отступом 3 Знак"/>
    <w:basedOn w:val="a0"/>
    <w:link w:val="3"/>
    <w:rsid w:val="00B735A1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a6">
    <w:name w:val="footnote text"/>
    <w:basedOn w:val="a"/>
    <w:link w:val="a7"/>
    <w:semiHidden/>
    <w:rsid w:val="00B735A1"/>
  </w:style>
  <w:style w:type="character" w:customStyle="1" w:styleId="a7">
    <w:name w:val="Текст сноски Знак"/>
    <w:basedOn w:val="a0"/>
    <w:link w:val="a6"/>
    <w:semiHidden/>
    <w:rsid w:val="00B735A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semiHidden/>
    <w:rsid w:val="00B735A1"/>
    <w:rPr>
      <w:vertAlign w:val="superscript"/>
    </w:rPr>
  </w:style>
  <w:style w:type="paragraph" w:styleId="21">
    <w:name w:val="Body Text Indent 2"/>
    <w:basedOn w:val="a"/>
    <w:link w:val="22"/>
    <w:rsid w:val="00B735A1"/>
    <w:pPr>
      <w:ind w:firstLine="720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B735A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ody Text"/>
    <w:basedOn w:val="a"/>
    <w:link w:val="aa"/>
    <w:rsid w:val="00B735A1"/>
    <w:pPr>
      <w:jc w:val="both"/>
    </w:pPr>
    <w:rPr>
      <w:sz w:val="28"/>
    </w:rPr>
  </w:style>
  <w:style w:type="character" w:customStyle="1" w:styleId="aa">
    <w:name w:val="Основной текст Знак"/>
    <w:basedOn w:val="a0"/>
    <w:link w:val="a9"/>
    <w:uiPriority w:val="99"/>
    <w:rsid w:val="00B735A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"/>
    <w:link w:val="ac"/>
    <w:uiPriority w:val="99"/>
    <w:rsid w:val="00B735A1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735A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page number"/>
    <w:basedOn w:val="a0"/>
    <w:rsid w:val="00B735A1"/>
  </w:style>
  <w:style w:type="paragraph" w:styleId="ae">
    <w:name w:val="header"/>
    <w:basedOn w:val="a"/>
    <w:link w:val="af"/>
    <w:uiPriority w:val="99"/>
    <w:rsid w:val="00B735A1"/>
    <w:pPr>
      <w:tabs>
        <w:tab w:val="center" w:pos="4153"/>
        <w:tab w:val="right" w:pos="8306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B735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Знак Знак1"/>
    <w:basedOn w:val="a"/>
    <w:rsid w:val="00B735A1"/>
    <w:rPr>
      <w:rFonts w:ascii="Verdana" w:hAnsi="Verdana" w:cs="Verdana"/>
      <w:lang w:val="en-US" w:eastAsia="en-US"/>
    </w:rPr>
  </w:style>
  <w:style w:type="paragraph" w:customStyle="1" w:styleId="af0">
    <w:name w:val="Знак Знак Знак Знак Знак"/>
    <w:basedOn w:val="a"/>
    <w:rsid w:val="00B735A1"/>
    <w:rPr>
      <w:rFonts w:ascii="Verdana" w:hAnsi="Verdana" w:cs="Verdana"/>
      <w:lang w:val="en-US" w:eastAsia="en-US"/>
    </w:rPr>
  </w:style>
  <w:style w:type="paragraph" w:customStyle="1" w:styleId="af1">
    <w:name w:val="Знак Знак Знак"/>
    <w:basedOn w:val="a"/>
    <w:rsid w:val="00B735A1"/>
    <w:rPr>
      <w:rFonts w:ascii="Verdana" w:hAnsi="Verdana" w:cs="Verdana"/>
      <w:lang w:val="en-US" w:eastAsia="en-US"/>
    </w:rPr>
  </w:style>
  <w:style w:type="paragraph" w:customStyle="1" w:styleId="af2">
    <w:name w:val="Знак Знак"/>
    <w:basedOn w:val="a"/>
    <w:rsid w:val="00B735A1"/>
    <w:rPr>
      <w:rFonts w:ascii="Verdana" w:hAnsi="Verdana" w:cs="Verdana"/>
      <w:lang w:val="en-US" w:eastAsia="en-US"/>
    </w:rPr>
  </w:style>
  <w:style w:type="paragraph" w:styleId="af3">
    <w:name w:val="Balloon Text"/>
    <w:basedOn w:val="a"/>
    <w:link w:val="af4"/>
    <w:uiPriority w:val="99"/>
    <w:rsid w:val="00B735A1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rsid w:val="00B735A1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8">
    <w:name w:val="Знак Знак8"/>
    <w:basedOn w:val="a"/>
    <w:rsid w:val="00B735A1"/>
    <w:rPr>
      <w:rFonts w:ascii="Verdana" w:hAnsi="Verdana" w:cs="Verdana"/>
      <w:lang w:val="en-US" w:eastAsia="en-US"/>
    </w:rPr>
  </w:style>
  <w:style w:type="paragraph" w:customStyle="1" w:styleId="7">
    <w:name w:val="Знак Знак7"/>
    <w:basedOn w:val="a"/>
    <w:rsid w:val="00B735A1"/>
    <w:rPr>
      <w:rFonts w:ascii="Verdana" w:hAnsi="Verdana" w:cs="Verdana"/>
      <w:lang w:val="en-US" w:eastAsia="en-US"/>
    </w:rPr>
  </w:style>
  <w:style w:type="paragraph" w:customStyle="1" w:styleId="6">
    <w:name w:val="Знак Знак6"/>
    <w:basedOn w:val="a"/>
    <w:rsid w:val="00B735A1"/>
    <w:rPr>
      <w:rFonts w:ascii="Verdana" w:hAnsi="Verdana" w:cs="Verdana"/>
      <w:lang w:val="en-US" w:eastAsia="en-US"/>
    </w:rPr>
  </w:style>
  <w:style w:type="paragraph" w:customStyle="1" w:styleId="5">
    <w:name w:val="Знак Знак5"/>
    <w:basedOn w:val="a"/>
    <w:rsid w:val="00B735A1"/>
    <w:rPr>
      <w:rFonts w:ascii="Verdana" w:hAnsi="Verdana" w:cs="Verdana"/>
      <w:lang w:val="en-US" w:eastAsia="en-US"/>
    </w:rPr>
  </w:style>
  <w:style w:type="character" w:styleId="af5">
    <w:name w:val="Placeholder Text"/>
    <w:basedOn w:val="a0"/>
    <w:uiPriority w:val="99"/>
    <w:semiHidden/>
    <w:rsid w:val="00B735A1"/>
    <w:rPr>
      <w:color w:val="808080"/>
    </w:rPr>
  </w:style>
  <w:style w:type="paragraph" w:customStyle="1" w:styleId="4">
    <w:name w:val="Знак Знак4"/>
    <w:basedOn w:val="a"/>
    <w:rsid w:val="00B735A1"/>
    <w:rPr>
      <w:rFonts w:ascii="Verdana" w:hAnsi="Verdana" w:cs="Verdana"/>
      <w:lang w:val="en-US" w:eastAsia="en-US"/>
    </w:rPr>
  </w:style>
  <w:style w:type="paragraph" w:styleId="af6">
    <w:name w:val="List Paragraph"/>
    <w:basedOn w:val="a"/>
    <w:uiPriority w:val="34"/>
    <w:qFormat/>
    <w:rsid w:val="00B735A1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31">
    <w:name w:val="Знак Знак3"/>
    <w:basedOn w:val="a"/>
    <w:rsid w:val="00B735A1"/>
    <w:rPr>
      <w:rFonts w:ascii="Verdana" w:hAnsi="Verdana" w:cs="Verdana"/>
      <w:lang w:val="en-US" w:eastAsia="en-US"/>
    </w:rPr>
  </w:style>
  <w:style w:type="paragraph" w:customStyle="1" w:styleId="23">
    <w:name w:val="Знак Знак2"/>
    <w:basedOn w:val="a"/>
    <w:rsid w:val="00B735A1"/>
    <w:rPr>
      <w:rFonts w:ascii="Verdana" w:hAnsi="Verdana" w:cs="Verdana"/>
      <w:lang w:val="en-US" w:eastAsia="en-US"/>
    </w:rPr>
  </w:style>
  <w:style w:type="character" w:styleId="af7">
    <w:name w:val="Hyperlink"/>
    <w:basedOn w:val="a0"/>
    <w:rsid w:val="00B735A1"/>
    <w:rPr>
      <w:color w:val="0563C1" w:themeColor="hyperlink"/>
      <w:u w:val="single"/>
    </w:rPr>
  </w:style>
  <w:style w:type="character" w:styleId="af8">
    <w:name w:val="FollowedHyperlink"/>
    <w:basedOn w:val="a0"/>
    <w:rsid w:val="00B735A1"/>
    <w:rPr>
      <w:color w:val="954F72" w:themeColor="followedHyperlink"/>
      <w:u w:val="single"/>
    </w:rPr>
  </w:style>
  <w:style w:type="paragraph" w:customStyle="1" w:styleId="af9">
    <w:name w:val="Знак Знак"/>
    <w:basedOn w:val="a"/>
    <w:rsid w:val="00A51F21"/>
    <w:rPr>
      <w:rFonts w:ascii="Verdana" w:hAnsi="Verdana" w:cs="Verdana"/>
      <w:lang w:val="en-US" w:eastAsia="en-US"/>
    </w:rPr>
  </w:style>
  <w:style w:type="paragraph" w:customStyle="1" w:styleId="Default">
    <w:name w:val="Default"/>
    <w:rsid w:val="00BF677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c.europa.eu/eurostat/statistics-explained/index.php/EU_statistics_on_income_and_living_conditions_(EU-SILC)_methodology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../embeddings/oleObject1.bin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1.xlsx"/><Relationship Id="rId1" Type="http://schemas.openxmlformats.org/officeDocument/2006/relationships/themeOverride" Target="../theme/themeOverride1.xm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2.xlsx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3.xlsx"/><Relationship Id="rId1" Type="http://schemas.openxmlformats.org/officeDocument/2006/relationships/image" Target="../media/image1.jpeg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4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5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6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Times New Roman Cyr"/>
                <a:ea typeface="Times New Roman Cyr"/>
                <a:cs typeface="Times New Roman Cyr"/>
              </a:defRPr>
            </a:pPr>
            <a:r>
              <a:rPr lang="uk-UA" sz="1200"/>
              <a:t>Частка домогосподарств, які мають 4 та більше ознак (депривацій)</a:t>
            </a:r>
          </a:p>
        </c:rich>
      </c:tx>
      <c:layout>
        <c:manualLayout>
          <c:xMode val="edge"/>
          <c:yMode val="edge"/>
          <c:x val="0.16161353676056081"/>
          <c:y val="1.4246357953140802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1801505269826308"/>
          <c:y val="0.19769094007073146"/>
          <c:w val="0.80873743611509119"/>
          <c:h val="0.48678026921761691"/>
        </c:manualLayout>
      </c:layout>
      <c:lineChart>
        <c:grouping val="standard"/>
        <c:varyColors val="0"/>
        <c:ser>
          <c:idx val="0"/>
          <c:order val="0"/>
          <c:tx>
            <c:strRef>
              <c:f>'[Диаграмма в Microsoft Word]Лист1'!$A$2</c:f>
              <c:strCache>
                <c:ptCount val="1"/>
                <c:pt idx="0">
                  <c:v>Всі домогосподарства</c:v>
                </c:pt>
              </c:strCache>
            </c:strRef>
          </c:tx>
          <c:spPr>
            <a:ln w="38100">
              <a:solidFill>
                <a:srgbClr val="000080"/>
              </a:solidFill>
              <a:prstDash val="solid"/>
            </a:ln>
          </c:spPr>
          <c:dLbls>
            <c:dLbl>
              <c:idx val="0"/>
              <c:layout>
                <c:manualLayout>
                  <c:x val="-2.3094506373770252E-2"/>
                  <c:y val="-3.759779604537595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F3AE-4C72-86FF-AF1B02F6B77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9260060737211583E-2"/>
                  <c:y val="-3.75966117602474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F3AE-4C72-86FF-AF1B02F6B77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6949864523285671E-2"/>
                  <c:y val="-3.383798683371008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F3AE-4C72-86FF-AF1B02F6B77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6.9284064665127024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F3AE-4C72-86FF-AF1B02F6B77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4640577549053565E-2"/>
                  <c:y val="-3.007699333691579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F3AE-4C72-86FF-AF1B02F6B77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1.3856631085086736E-2"/>
                  <c:y val="-2.63189605529427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F3AE-4C72-86FF-AF1B02F6B77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3.233165427069884E-2"/>
                  <c:y val="-3.383917111883857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F3AE-4C72-86FF-AF1B02F6B77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numRef>
              <c:f>'[Диаграмма в Microsoft Word]Лист1'!$B$1:$I$1</c:f>
              <c:numCache>
                <c:formatCode>General</c:formatCode>
                <c:ptCount val="8"/>
                <c:pt idx="0">
                  <c:v>2007</c:v>
                </c:pt>
                <c:pt idx="1">
                  <c:v>2009</c:v>
                </c:pt>
                <c:pt idx="2">
                  <c:v>2011</c:v>
                </c:pt>
                <c:pt idx="3">
                  <c:v>2013</c:v>
                </c:pt>
                <c:pt idx="4">
                  <c:v>2015</c:v>
                </c:pt>
                <c:pt idx="5">
                  <c:v>2017</c:v>
                </c:pt>
                <c:pt idx="6">
                  <c:v>2019</c:v>
                </c:pt>
                <c:pt idx="7">
                  <c:v>2021</c:v>
                </c:pt>
              </c:numCache>
            </c:numRef>
          </c:cat>
          <c:val>
            <c:numRef>
              <c:f>'[Диаграмма в Microsoft Word]Лист1'!$B$2:$I$2</c:f>
              <c:numCache>
                <c:formatCode>0.0</c:formatCode>
                <c:ptCount val="8"/>
                <c:pt idx="0">
                  <c:v>29</c:v>
                </c:pt>
                <c:pt idx="1">
                  <c:v>25.4</c:v>
                </c:pt>
                <c:pt idx="2">
                  <c:v>25.5</c:v>
                </c:pt>
                <c:pt idx="3">
                  <c:v>22.4</c:v>
                </c:pt>
                <c:pt idx="4">
                  <c:v>30.8</c:v>
                </c:pt>
                <c:pt idx="5">
                  <c:v>32.6</c:v>
                </c:pt>
                <c:pt idx="6">
                  <c:v>27.6</c:v>
                </c:pt>
                <c:pt idx="7">
                  <c:v>24.4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7-F3AE-4C72-86FF-AF1B02F6B77D}"/>
            </c:ext>
          </c:extLst>
        </c:ser>
        <c:ser>
          <c:idx val="1"/>
          <c:order val="1"/>
          <c:tx>
            <c:strRef>
              <c:f>'[Диаграмма в Microsoft Word]Лист1'!$A$3</c:f>
              <c:strCache>
                <c:ptCount val="1"/>
                <c:pt idx="0">
                  <c:v>Міські домогосподарства</c:v>
                </c:pt>
              </c:strCache>
            </c:strRef>
          </c:tx>
          <c:marker>
            <c:symbol val="square"/>
            <c:size val="5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2.0785219399538105E-2"/>
                  <c:y val="4.13611581124271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8-F3AE-4C72-86FF-AF1B02F6B77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1.1547344110854545E-2"/>
                  <c:y val="2.25606316976874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F3AE-4C72-86FF-AF1B02F6B77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9.2378752886836443E-3"/>
                  <c:y val="3.008084226358338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A-F3AE-4C72-86FF-AF1B02F6B77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9260969976905397E-2"/>
                  <c:y val="3.76010528294792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B-F3AE-4C72-86FF-AF1B02F6B77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2.5404157043879907E-2"/>
                  <c:y val="2.632073698063545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C-F3AE-4C72-86FF-AF1B02F6B77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0023094688221709E-2"/>
                  <c:y val="3.384094754653137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D-F3AE-4C72-86FF-AF1B02F6B77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3.4642032332563508E-2"/>
                  <c:y val="3.384094754653130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E-F3AE-4C72-86FF-AF1B02F6B77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numRef>
              <c:f>'[Диаграмма в Microsoft Word]Лист1'!$B$1:$I$1</c:f>
              <c:numCache>
                <c:formatCode>General</c:formatCode>
                <c:ptCount val="8"/>
                <c:pt idx="0">
                  <c:v>2007</c:v>
                </c:pt>
                <c:pt idx="1">
                  <c:v>2009</c:v>
                </c:pt>
                <c:pt idx="2">
                  <c:v>2011</c:v>
                </c:pt>
                <c:pt idx="3">
                  <c:v>2013</c:v>
                </c:pt>
                <c:pt idx="4">
                  <c:v>2015</c:v>
                </c:pt>
                <c:pt idx="5">
                  <c:v>2017</c:v>
                </c:pt>
                <c:pt idx="6">
                  <c:v>2019</c:v>
                </c:pt>
                <c:pt idx="7">
                  <c:v>2021</c:v>
                </c:pt>
              </c:numCache>
            </c:numRef>
          </c:cat>
          <c:val>
            <c:numRef>
              <c:f>'[Диаграмма в Microsoft Word]Лист1'!$B$3:$I$3</c:f>
              <c:numCache>
                <c:formatCode>0.0</c:formatCode>
                <c:ptCount val="8"/>
                <c:pt idx="0">
                  <c:v>22</c:v>
                </c:pt>
                <c:pt idx="1">
                  <c:v>19.100000000000001</c:v>
                </c:pt>
                <c:pt idx="2">
                  <c:v>19.399999999999999</c:v>
                </c:pt>
                <c:pt idx="3">
                  <c:v>15.4</c:v>
                </c:pt>
                <c:pt idx="4">
                  <c:v>24</c:v>
                </c:pt>
                <c:pt idx="5">
                  <c:v>25.5</c:v>
                </c:pt>
                <c:pt idx="6">
                  <c:v>20</c:v>
                </c:pt>
                <c:pt idx="7">
                  <c:v>16.2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F-F3AE-4C72-86FF-AF1B02F6B77D}"/>
            </c:ext>
          </c:extLst>
        </c:ser>
        <c:ser>
          <c:idx val="2"/>
          <c:order val="2"/>
          <c:tx>
            <c:strRef>
              <c:f>'[Диаграмма в Microsoft Word]Лист1'!$A$4</c:f>
              <c:strCache>
                <c:ptCount val="1"/>
                <c:pt idx="0">
                  <c:v>Сільські домогосподарства</c:v>
                </c:pt>
              </c:strCache>
            </c:strRef>
          </c:tx>
          <c:spPr>
            <a:ln w="12700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-4.6185076329020814E-3"/>
                  <c:y val="-1.503850656972553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0-F3AE-4C72-86FF-AF1B02F6B77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1.8475750577367205E-2"/>
                  <c:y val="-2.631748019653211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1-F3AE-4C72-86FF-AF1B02F6B77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9.2380571366223567E-3"/>
                  <c:y val="-2.255767098486631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2-F3AE-4C72-86FF-AF1B02F6B77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2.771362586605081E-2"/>
                  <c:y val="-3.75972039028116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3-F3AE-4C72-86FF-AF1B02F6B77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2.5402884108308717E-2"/>
                  <c:y val="-2.25576709848663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4-F3AE-4C72-86FF-AF1B02F6B77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1.8475023185612276E-2"/>
                  <c:y val="-2.255767098486638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5-F3AE-4C72-86FF-AF1B02F6B77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2.5403065956247469E-2"/>
                  <c:y val="-2.63174801965321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6-F3AE-4C72-86FF-AF1B02F6B77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numRef>
              <c:f>'[Диаграмма в Microsoft Word]Лист1'!$B$1:$I$1</c:f>
              <c:numCache>
                <c:formatCode>General</c:formatCode>
                <c:ptCount val="8"/>
                <c:pt idx="0">
                  <c:v>2007</c:v>
                </c:pt>
                <c:pt idx="1">
                  <c:v>2009</c:v>
                </c:pt>
                <c:pt idx="2">
                  <c:v>2011</c:v>
                </c:pt>
                <c:pt idx="3">
                  <c:v>2013</c:v>
                </c:pt>
                <c:pt idx="4">
                  <c:v>2015</c:v>
                </c:pt>
                <c:pt idx="5">
                  <c:v>2017</c:v>
                </c:pt>
                <c:pt idx="6">
                  <c:v>2019</c:v>
                </c:pt>
                <c:pt idx="7">
                  <c:v>2021</c:v>
                </c:pt>
              </c:numCache>
            </c:numRef>
          </c:cat>
          <c:val>
            <c:numRef>
              <c:f>'[Диаграмма в Microsoft Word]Лист1'!$B$4:$I$4</c:f>
              <c:numCache>
                <c:formatCode>0.0</c:formatCode>
                <c:ptCount val="8"/>
                <c:pt idx="0">
                  <c:v>45.1</c:v>
                </c:pt>
                <c:pt idx="1">
                  <c:v>39.4</c:v>
                </c:pt>
                <c:pt idx="2">
                  <c:v>39</c:v>
                </c:pt>
                <c:pt idx="3">
                  <c:v>38.299999999999997</c:v>
                </c:pt>
                <c:pt idx="4">
                  <c:v>44.2</c:v>
                </c:pt>
                <c:pt idx="5">
                  <c:v>46.9</c:v>
                </c:pt>
                <c:pt idx="6">
                  <c:v>43.9</c:v>
                </c:pt>
                <c:pt idx="7">
                  <c:v>41.4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7-F3AE-4C72-86FF-AF1B02F6B77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73641792"/>
        <c:axId val="73642352"/>
      </c:lineChart>
      <c:catAx>
        <c:axId val="73641792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900" b="1" i="0" u="none" strike="noStrike" baseline="0">
                    <a:solidFill>
                      <a:srgbClr val="000000"/>
                    </a:solidFill>
                    <a:latin typeface="Times New Roman Cyr"/>
                    <a:ea typeface="Times New Roman Cyr"/>
                    <a:cs typeface="Times New Roman Cyr"/>
                  </a:defRPr>
                </a:pPr>
                <a:r>
                  <a:rPr lang="uk-UA"/>
                  <a:t>роки</a:t>
                </a:r>
              </a:p>
            </c:rich>
          </c:tx>
          <c:layout>
            <c:manualLayout>
              <c:xMode val="edge"/>
              <c:yMode val="edge"/>
              <c:x val="0.93208652366730027"/>
              <c:y val="0.67595092748237939"/>
            </c:manualLayout>
          </c:layout>
          <c:overlay val="0"/>
          <c:spPr>
            <a:noFill/>
            <a:ln w="25400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uk-UA"/>
          </a:p>
        </c:txPr>
        <c:crossAx val="73642352"/>
        <c:crosses val="autoZero"/>
        <c:auto val="1"/>
        <c:lblAlgn val="ctr"/>
        <c:lblOffset val="100"/>
        <c:noMultiLvlLbl val="0"/>
      </c:catAx>
      <c:valAx>
        <c:axId val="73642352"/>
        <c:scaling>
          <c:orientation val="minMax"/>
          <c:max val="50"/>
          <c:min val="0"/>
        </c:scaling>
        <c:delete val="0"/>
        <c:axPos val="l"/>
        <c:majorGridlines>
          <c:spPr>
            <a:ln w="3175">
              <a:pattFill prst="pct25">
                <a:fgClr>
                  <a:srgbClr val="000000"/>
                </a:fgClr>
                <a:bgClr>
                  <a:srgbClr val="FFFFFF"/>
                </a:bgClr>
              </a:pattFill>
              <a:prstDash val="solid"/>
            </a:ln>
          </c:spPr>
        </c:majorGridlines>
        <c:title>
          <c:tx>
            <c:rich>
              <a:bodyPr rot="60000" vert="horz"/>
              <a:lstStyle/>
              <a:p>
                <a:pPr algn="ctr">
                  <a:defRPr sz="800" b="1" i="0" u="none" strike="noStrike" baseline="0">
                    <a:solidFill>
                      <a:srgbClr val="000000"/>
                    </a:solidFill>
                    <a:latin typeface="Times New Roman Cyr"/>
                    <a:ea typeface="Times New Roman Cyr"/>
                    <a:cs typeface="Times New Roman Cyr"/>
                  </a:defRPr>
                </a:pPr>
                <a:r>
                  <a:rPr lang="uk-UA"/>
                  <a:t>%</a:t>
                </a:r>
              </a:p>
            </c:rich>
          </c:tx>
          <c:layout>
            <c:manualLayout>
              <c:xMode val="edge"/>
              <c:yMode val="edge"/>
              <c:x val="9.270902344103539E-2"/>
              <c:y val="0.23573092689256539"/>
            </c:manualLayout>
          </c:layout>
          <c:overlay val="0"/>
          <c:spPr>
            <a:noFill/>
            <a:ln w="25400">
              <a:noFill/>
            </a:ln>
          </c:spPr>
        </c:title>
        <c:numFmt formatCode="0.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Times New Roman Cyr"/>
                <a:ea typeface="Times New Roman Cyr"/>
                <a:cs typeface="Times New Roman Cyr"/>
              </a:defRPr>
            </a:pPr>
            <a:endParaRPr lang="uk-UA"/>
          </a:p>
        </c:txPr>
        <c:crossAx val="73641792"/>
        <c:crosses val="autoZero"/>
        <c:crossBetween val="between"/>
        <c:majorUnit val="10"/>
      </c:valAx>
      <c:spPr>
        <a:noFill/>
        <a:ln w="25400">
          <a:noFill/>
        </a:ln>
      </c:spPr>
    </c:plotArea>
    <c:legend>
      <c:legendPos val="b"/>
      <c:layout>
        <c:manualLayout>
          <c:xMode val="edge"/>
          <c:yMode val="edge"/>
          <c:x val="7.2983799438863239E-2"/>
          <c:y val="0.85487923560116785"/>
          <c:w val="0.89999981898814363"/>
          <c:h val="5.7473237193665372E-2"/>
        </c:manualLayout>
      </c:layout>
      <c:overlay val="0"/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Times New Roman Cyr"/>
              <a:ea typeface="Times New Roman Cyr"/>
              <a:cs typeface="Times New Roman Cyr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rgbClr val="FFFFFF"/>
    </a:solidFill>
    <a:ln w="3175">
      <a:noFill/>
      <a:prstDash val="solid"/>
    </a:ln>
  </c:spPr>
  <c:txPr>
    <a:bodyPr/>
    <a:lstStyle/>
    <a:p>
      <a:pPr>
        <a:defRPr sz="1200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uk-UA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05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uk-UA" sz="1050" baseline="0"/>
              <a:t>Частка домогосподарств відповідного типу, які мають 4 та більше із 18 ознак (депривацій)</a:t>
            </a:r>
          </a:p>
        </c:rich>
      </c:tx>
      <c:layout>
        <c:manualLayout>
          <c:xMode val="edge"/>
          <c:yMode val="edge"/>
          <c:x val="0.14589652684645446"/>
          <c:y val="1.8627879848352288E-4"/>
        </c:manualLayout>
      </c:layout>
      <c:overlay val="0"/>
      <c:spPr>
        <a:noFill/>
        <a:ln w="25362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46813829694065862"/>
          <c:y val="7.8816775748886153E-2"/>
          <c:w val="0.49678305605555717"/>
          <c:h val="0.86825995186731764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Лист2!$B$1</c:f>
              <c:strCache>
                <c:ptCount val="1"/>
                <c:pt idx="0">
                  <c:v>2021</c:v>
                </c:pt>
              </c:strCache>
            </c:strRef>
          </c:tx>
          <c:spPr>
            <a:solidFill>
              <a:schemeClr val="accent4">
                <a:lumMod val="75000"/>
              </a:schemeClr>
            </a:solidFill>
            <a:ln w="12682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5362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Лист2!$A$2:$A$15</c:f>
              <c:strCache>
                <c:ptCount val="14"/>
                <c:pt idx="0">
                  <c:v>Домогосподарства, де немає працюючих осіб</c:v>
                </c:pt>
                <c:pt idx="1">
                  <c:v>Домогосподарства, де є працюючі особи</c:v>
                </c:pt>
                <c:pt idx="2">
                  <c:v>Домогосподарства, де всі особи у непрацездатному віці</c:v>
                </c:pt>
                <c:pt idx="3">
                  <c:v>Домогосподарства з особами у працездатному та непрацездатному віці</c:v>
                </c:pt>
                <c:pt idx="4">
                  <c:v>Домогосподарства, де всі особи у працездатному віці</c:v>
                </c:pt>
                <c:pt idx="5">
                  <c:v>Домогосподарства без дітей</c:v>
                </c:pt>
                <c:pt idx="6">
                  <c:v>Домогосподарства, у складі яких є неповні сім"ї</c:v>
                </c:pt>
                <c:pt idx="7">
                  <c:v>Домогосподарства з 3 і більше дітьми</c:v>
                </c:pt>
                <c:pt idx="8">
                  <c:v>Домогосподарства з 2 дітьми</c:v>
                </c:pt>
                <c:pt idx="9">
                  <c:v>Домогосподарства з 1 дитиною</c:v>
                </c:pt>
                <c:pt idx="10">
                  <c:v>Домогосподарства з дітьми</c:v>
                </c:pt>
                <c:pt idx="11">
                  <c:v>Домогосподарства, які проживають у сільській місцевості</c:v>
                </c:pt>
                <c:pt idx="12">
                  <c:v>Домогосподарства, які проживають у міських поселеннях</c:v>
                </c:pt>
                <c:pt idx="13">
                  <c:v>Усі домогосподарства</c:v>
                </c:pt>
              </c:strCache>
            </c:strRef>
          </c:cat>
          <c:val>
            <c:numRef>
              <c:f>Лист2!$B$2:$B$15</c:f>
              <c:numCache>
                <c:formatCode>0.0</c:formatCode>
                <c:ptCount val="14"/>
                <c:pt idx="0">
                  <c:v>37.799999999999997</c:v>
                </c:pt>
                <c:pt idx="1">
                  <c:v>19.7</c:v>
                </c:pt>
                <c:pt idx="2">
                  <c:v>26.1</c:v>
                </c:pt>
                <c:pt idx="3">
                  <c:v>28.3</c:v>
                </c:pt>
                <c:pt idx="4">
                  <c:v>24.7</c:v>
                </c:pt>
                <c:pt idx="5">
                  <c:v>27.1</c:v>
                </c:pt>
                <c:pt idx="6">
                  <c:v>31.6</c:v>
                </c:pt>
                <c:pt idx="7">
                  <c:v>28.8</c:v>
                </c:pt>
                <c:pt idx="8">
                  <c:v>20.8</c:v>
                </c:pt>
                <c:pt idx="9">
                  <c:v>19.7</c:v>
                </c:pt>
                <c:pt idx="10">
                  <c:v>20.2</c:v>
                </c:pt>
                <c:pt idx="11">
                  <c:v>41.4</c:v>
                </c:pt>
                <c:pt idx="12">
                  <c:v>16.2</c:v>
                </c:pt>
                <c:pt idx="13">
                  <c:v>24.4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6F50-4B17-8FBE-8B555DB162D1}"/>
            </c:ext>
          </c:extLst>
        </c:ser>
        <c:ser>
          <c:idx val="1"/>
          <c:order val="1"/>
          <c:tx>
            <c:strRef>
              <c:f>Лист2!$C$1</c:f>
              <c:strCache>
                <c:ptCount val="1"/>
                <c:pt idx="0">
                  <c:v>2019</c:v>
                </c:pt>
              </c:strCache>
            </c:strRef>
          </c:tx>
          <c:spPr>
            <a:pattFill prst="pct30">
              <a:fgClr>
                <a:schemeClr val="accent3">
                  <a:lumMod val="75000"/>
                </a:schemeClr>
              </a:fgClr>
              <a:bgClr>
                <a:schemeClr val="bg1"/>
              </a:bgClr>
            </a:pattFill>
            <a:ln w="12682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5362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Лист2!$A$2:$A$15</c:f>
              <c:strCache>
                <c:ptCount val="14"/>
                <c:pt idx="0">
                  <c:v>Домогосподарства, де немає працюючих осіб</c:v>
                </c:pt>
                <c:pt idx="1">
                  <c:v>Домогосподарства, де є працюючі особи</c:v>
                </c:pt>
                <c:pt idx="2">
                  <c:v>Домогосподарства, де всі особи у непрацездатному віці</c:v>
                </c:pt>
                <c:pt idx="3">
                  <c:v>Домогосподарства з особами у працездатному та непрацездатному віці</c:v>
                </c:pt>
                <c:pt idx="4">
                  <c:v>Домогосподарства, де всі особи у працездатному віці</c:v>
                </c:pt>
                <c:pt idx="5">
                  <c:v>Домогосподарства без дітей</c:v>
                </c:pt>
                <c:pt idx="6">
                  <c:v>Домогосподарства, у складі яких є неповні сім"ї</c:v>
                </c:pt>
                <c:pt idx="7">
                  <c:v>Домогосподарства з 3 і більше дітьми</c:v>
                </c:pt>
                <c:pt idx="8">
                  <c:v>Домогосподарства з 2 дітьми</c:v>
                </c:pt>
                <c:pt idx="9">
                  <c:v>Домогосподарства з 1 дитиною</c:v>
                </c:pt>
                <c:pt idx="10">
                  <c:v>Домогосподарства з дітьми</c:v>
                </c:pt>
                <c:pt idx="11">
                  <c:v>Домогосподарства, які проживають у сільській місцевості</c:v>
                </c:pt>
                <c:pt idx="12">
                  <c:v>Домогосподарства, які проживають у міських поселеннях</c:v>
                </c:pt>
                <c:pt idx="13">
                  <c:v>Усі домогосподарства</c:v>
                </c:pt>
              </c:strCache>
            </c:strRef>
          </c:cat>
          <c:val>
            <c:numRef>
              <c:f>Лист2!$C$2:$C$15</c:f>
              <c:numCache>
                <c:formatCode>0.0</c:formatCode>
                <c:ptCount val="14"/>
                <c:pt idx="0">
                  <c:v>41.8</c:v>
                </c:pt>
                <c:pt idx="1">
                  <c:v>22.8</c:v>
                </c:pt>
                <c:pt idx="2">
                  <c:v>39.4</c:v>
                </c:pt>
                <c:pt idx="3">
                  <c:v>32.5</c:v>
                </c:pt>
                <c:pt idx="4">
                  <c:v>21.6</c:v>
                </c:pt>
                <c:pt idx="5">
                  <c:v>34.299999999999997</c:v>
                </c:pt>
                <c:pt idx="6">
                  <c:v>34.799999999999997</c:v>
                </c:pt>
                <c:pt idx="7">
                  <c:v>42.7</c:v>
                </c:pt>
                <c:pt idx="8">
                  <c:v>23.5</c:v>
                </c:pt>
                <c:pt idx="9">
                  <c:v>21.9</c:v>
                </c:pt>
                <c:pt idx="10">
                  <c:v>22.8</c:v>
                </c:pt>
                <c:pt idx="11">
                  <c:v>43.9</c:v>
                </c:pt>
                <c:pt idx="12">
                  <c:v>20</c:v>
                </c:pt>
                <c:pt idx="13">
                  <c:v>27.6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6F50-4B17-8FBE-8B555DB162D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48038496"/>
        <c:axId val="148039056"/>
      </c:barChart>
      <c:catAx>
        <c:axId val="148038496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uk-UA"/>
          </a:p>
        </c:txPr>
        <c:crossAx val="14803905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48039056"/>
        <c:scaling>
          <c:orientation val="minMax"/>
        </c:scaling>
        <c:delete val="0"/>
        <c:axPos val="b"/>
        <c:majorGridlines>
          <c:spPr>
            <a:ln w="3170">
              <a:solidFill>
                <a:srgbClr val="FFFFFF"/>
              </a:solidFill>
              <a:prstDash val="sysDash"/>
            </a:ln>
          </c:spPr>
        </c:majorGridlines>
        <c:title>
          <c:tx>
            <c:rich>
              <a:bodyPr/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r>
                  <a:rPr lang="uk-UA" sz="800"/>
                  <a:t>%</a:t>
                </a:r>
              </a:p>
            </c:rich>
          </c:tx>
          <c:layout>
            <c:manualLayout>
              <c:xMode val="edge"/>
              <c:yMode val="edge"/>
              <c:x val="0.9663448898567274"/>
              <c:y val="0.90625419218431036"/>
            </c:manualLayout>
          </c:layout>
          <c:overlay val="0"/>
          <c:spPr>
            <a:noFill/>
            <a:ln w="25362">
              <a:noFill/>
            </a:ln>
          </c:spPr>
        </c:title>
        <c:numFmt formatCode="0.0" sourceLinked="1"/>
        <c:majorTickMark val="out"/>
        <c:minorTickMark val="none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uk-UA"/>
          </a:p>
        </c:txPr>
        <c:crossAx val="148038496"/>
        <c:crosses val="autoZero"/>
        <c:crossBetween val="between"/>
      </c:valAx>
      <c:spPr>
        <a:solidFill>
          <a:srgbClr val="FFFFFF"/>
        </a:solidFill>
        <a:ln w="25362">
          <a:noFill/>
        </a:ln>
      </c:spPr>
    </c:plotArea>
    <c:legend>
      <c:legendPos val="r"/>
      <c:layout>
        <c:manualLayout>
          <c:xMode val="edge"/>
          <c:yMode val="edge"/>
          <c:x val="0.844637013273142"/>
          <c:y val="7.5436898512685924E-2"/>
          <c:w val="0.11493520177927327"/>
          <c:h val="6.2452023042574224E-2"/>
        </c:manualLayout>
      </c:layout>
      <c:overlay val="0"/>
      <c:spPr>
        <a:solidFill>
          <a:srgbClr val="FFFFFF"/>
        </a:solidFill>
        <a:ln w="3170">
          <a:solidFill>
            <a:srgbClr val="000000"/>
          </a:solidFill>
          <a:prstDash val="solid"/>
        </a:ln>
      </c:spPr>
      <c:txPr>
        <a:bodyPr/>
        <a:lstStyle/>
        <a:p>
          <a:pPr>
            <a:defRPr sz="799" b="0" i="0" u="none" strike="noStrike" baseline="0">
              <a:solidFill>
                <a:srgbClr val="000000"/>
              </a:solidFill>
              <a:latin typeface="Times New Roman"/>
              <a:ea typeface="Times New Roman"/>
              <a:cs typeface="Times New Roman"/>
            </a:defRPr>
          </a:pPr>
          <a:endParaRPr lang="uk-UA"/>
        </a:p>
      </c:tx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525" b="0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uk-UA"/>
    </a:p>
  </c:tx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b="1"/>
            </a:pPr>
            <a:r>
              <a:rPr lang="uk-UA" sz="1200" b="1"/>
              <a:t>Структура сукупних ресурсів домогосподарств</a:t>
            </a:r>
          </a:p>
        </c:rich>
      </c:tx>
      <c:layout>
        <c:manualLayout>
          <c:xMode val="edge"/>
          <c:yMode val="edge"/>
          <c:x val="0.25935872436008195"/>
          <c:y val="0"/>
        </c:manualLayout>
      </c:layout>
      <c:overlay val="0"/>
      <c:spPr>
        <a:noFill/>
        <a:ln w="25399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9.3905232033224248E-2"/>
          <c:y val="0.19582430244999863"/>
          <c:w val="0.87676416623470654"/>
          <c:h val="0.6183873357293754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Лист1!$A$2</c:f>
              <c:strCache>
                <c:ptCount val="1"/>
                <c:pt idx="0">
                  <c:v>2020</c:v>
                </c:pt>
              </c:strCache>
            </c:strRef>
          </c:tx>
          <c:spPr>
            <a:pattFill prst="ltDnDiag">
              <a:fgClr>
                <a:srgbClr xmlns:mc="http://schemas.openxmlformats.org/markup-compatibility/2006" xmlns:a14="http://schemas.microsoft.com/office/drawing/2010/main" val="000000" mc:Ignorable="a14" a14:legacySpreadsheetColorIndex="8"/>
              </a:fgClr>
              <a:bgClr>
                <a:srgbClr xmlns:mc="http://schemas.openxmlformats.org/markup-compatibility/2006" xmlns:a14="http://schemas.microsoft.com/office/drawing/2010/main" val="FFFFFF" mc:Ignorable="a14" a14:legacySpreadsheetColorIndex="9"/>
              </a:bgClr>
            </a:patt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-1.3559064610594584E-3"/>
                  <c:y val="-2.0893074640179754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64,1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C26D-44D6-98E3-8D1C69F0C5B9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4.518422538954403E-4"/>
                  <c:y val="-1.2200435729847525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21,2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C26D-44D6-98E3-8D1C69F0C5B9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1.4643106320570975E-3"/>
                  <c:y val="-7.690460261094878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5,5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C26D-44D6-98E3-8D1C69F0C5B9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2.2601605179098927E-3"/>
                  <c:y val="-7.3202614379085373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9,2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C26D-44D6-98E3-8D1C69F0C5B9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399">
                <a:noFill/>
              </a:ln>
            </c:spPr>
            <c:txPr>
              <a:bodyPr/>
              <a:lstStyle/>
              <a:p>
                <a:pPr>
                  <a:defRPr sz="900"/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Лист1!$B$1:$E$1</c:f>
              <c:strCache>
                <c:ptCount val="4"/>
                <c:pt idx="0">
                  <c:v>Доходи від зайнятості*</c:v>
                </c:pt>
                <c:pt idx="1">
                  <c:v>Пенсії, стипендії, соціальні допомоги</c:v>
                </c:pt>
                <c:pt idx="2">
                  <c:v>Доходи від особистого підсобного господарства**</c:v>
                </c:pt>
                <c:pt idx="3">
                  <c:v>Допомога від родичів, інших осіб та інші надходження</c:v>
                </c:pt>
              </c:strCache>
            </c:strRef>
          </c:cat>
          <c:val>
            <c:numRef>
              <c:f>Лист1!$B$2:$E$2</c:f>
              <c:numCache>
                <c:formatCode>0.0</c:formatCode>
                <c:ptCount val="4"/>
                <c:pt idx="0">
                  <c:v>64.099999999999994</c:v>
                </c:pt>
                <c:pt idx="1">
                  <c:v>21.2</c:v>
                </c:pt>
                <c:pt idx="2">
                  <c:v>5.5</c:v>
                </c:pt>
                <c:pt idx="3">
                  <c:v>9.1999999999999993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C26D-44D6-98E3-8D1C69F0C5B9}"/>
            </c:ext>
          </c:extLst>
        </c:ser>
        <c:ser>
          <c:idx val="1"/>
          <c:order val="1"/>
          <c:tx>
            <c:strRef>
              <c:f>Лист1!$A$3</c:f>
              <c:strCache>
                <c:ptCount val="1"/>
                <c:pt idx="0">
                  <c:v>2021</c:v>
                </c:pt>
              </c:strCache>
            </c:strRef>
          </c:tx>
          <c:spPr>
            <a:solidFill>
              <a:schemeClr val="accent2">
                <a:lumMod val="60000"/>
                <a:lumOff val="40000"/>
              </a:schemeClr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en-US"/>
                      <a:t>65,5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C26D-44D6-98E3-8D1C69F0C5B9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5.7199812048810417E-3"/>
                  <c:y val="3.1592129415195513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20,2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C26D-44D6-98E3-8D1C69F0C5B9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4.7075128267194399E-3"/>
                  <c:y val="2.2441802617809703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C26D-44D6-98E3-8D1C69F0C5B9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5.7199812048810417E-3"/>
                  <c:y val="-2.2657952069716769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8,8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8-C26D-44D6-98E3-8D1C69F0C5B9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399">
                <a:noFill/>
              </a:ln>
            </c:spPr>
            <c:txPr>
              <a:bodyPr/>
              <a:lstStyle/>
              <a:p>
                <a:pPr>
                  <a:defRPr sz="900"/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Лист1!$B$1:$E$1</c:f>
              <c:strCache>
                <c:ptCount val="4"/>
                <c:pt idx="0">
                  <c:v>Доходи від зайнятості*</c:v>
                </c:pt>
                <c:pt idx="1">
                  <c:v>Пенсії, стипендії, соціальні допомоги</c:v>
                </c:pt>
                <c:pt idx="2">
                  <c:v>Доходи від особистого підсобного господарства**</c:v>
                </c:pt>
                <c:pt idx="3">
                  <c:v>Допомога від родичів, інших осіб та інші надходження</c:v>
                </c:pt>
              </c:strCache>
            </c:strRef>
          </c:cat>
          <c:val>
            <c:numRef>
              <c:f>Лист1!$B$3:$E$3</c:f>
              <c:numCache>
                <c:formatCode>0.0</c:formatCode>
                <c:ptCount val="4"/>
                <c:pt idx="0">
                  <c:v>65.5</c:v>
                </c:pt>
                <c:pt idx="1">
                  <c:v>20.2</c:v>
                </c:pt>
                <c:pt idx="2">
                  <c:v>5.5</c:v>
                </c:pt>
                <c:pt idx="3">
                  <c:v>8.8000000000000007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9-C26D-44D6-98E3-8D1C69F0C5B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60"/>
        <c:axId val="148041856"/>
        <c:axId val="148042416"/>
      </c:barChart>
      <c:catAx>
        <c:axId val="148041856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uk-UA"/>
                  <a:t>%</a:t>
                </a:r>
              </a:p>
            </c:rich>
          </c:tx>
          <c:layout>
            <c:manualLayout>
              <c:xMode val="edge"/>
              <c:yMode val="edge"/>
              <c:x val="7.5259013621409243E-2"/>
              <c:y val="8.1484448590267669E-2"/>
            </c:manualLayout>
          </c:layout>
          <c:overlay val="0"/>
          <c:spPr>
            <a:noFill/>
            <a:ln w="25399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/>
            </a:pPr>
            <a:endParaRPr lang="uk-UA"/>
          </a:p>
        </c:txPr>
        <c:crossAx val="14804241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48042416"/>
        <c:scaling>
          <c:orientation val="minMax"/>
        </c:scaling>
        <c:delete val="0"/>
        <c:axPos val="l"/>
        <c:majorGridlines>
          <c:spPr>
            <a:ln w="3175">
              <a:solidFill>
                <a:srgbClr val="C0C0C0"/>
              </a:solidFill>
              <a:prstDash val="sysDash"/>
            </a:ln>
          </c:spPr>
        </c:majorGridlines>
        <c:numFmt formatCode="0.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uk-UA"/>
          </a:p>
        </c:txPr>
        <c:crossAx val="148041856"/>
        <c:crosses val="autoZero"/>
        <c:crossBetween val="between"/>
      </c:valAx>
      <c:spPr>
        <a:solidFill>
          <a:srgbClr val="FFFFFF"/>
        </a:solidFill>
        <a:ln w="12700">
          <a:solidFill>
            <a:srgbClr val="FFFFFF"/>
          </a:solidFill>
          <a:prstDash val="sysDash"/>
        </a:ln>
      </c:spPr>
    </c:plotArea>
    <c:legend>
      <c:legendPos val="r"/>
      <c:layout>
        <c:manualLayout>
          <c:xMode val="edge"/>
          <c:yMode val="edge"/>
          <c:x val="0.8359305243584364"/>
          <c:y val="0.19902768251529535"/>
          <c:w val="0.12549946930614866"/>
          <c:h val="0.10886809880472258"/>
        </c:manualLayout>
      </c:layout>
      <c:overlay val="0"/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900"/>
          </a:pPr>
          <a:endParaRPr lang="uk-UA"/>
        </a:p>
      </c:txPr>
    </c:legend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825" b="0" i="0" u="none" strike="noStrike" baseline="0">
          <a:solidFill>
            <a:srgbClr val="000000"/>
          </a:solidFill>
          <a:latin typeface="Times New Roman" panose="02020603050405020304" pitchFamily="18" charset="0"/>
          <a:ea typeface="Arial"/>
          <a:cs typeface="Times New Roman" panose="02020603050405020304" pitchFamily="18" charset="0"/>
        </a:defRPr>
      </a:pPr>
      <a:endParaRPr lang="uk-UA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98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uk-UA"/>
              <a:t>Структура сукупних витрат домогосподарств </a:t>
            </a:r>
          </a:p>
        </c:rich>
      </c:tx>
      <c:layout>
        <c:manualLayout>
          <c:xMode val="edge"/>
          <c:yMode val="edge"/>
          <c:x val="0.20707964601769913"/>
          <c:y val="0"/>
        </c:manualLayout>
      </c:layout>
      <c:overlay val="0"/>
      <c:spPr>
        <a:noFill/>
        <a:ln w="25356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5.84070432422523E-2"/>
          <c:y val="0.14924791076236521"/>
          <c:w val="0.93097345132743359"/>
          <c:h val="0.67169931160740137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2020</c:v>
                </c:pt>
              </c:strCache>
            </c:strRef>
          </c:tx>
          <c:spPr>
            <a:noFill/>
            <a:ln w="12678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1.0725384990592779E-3"/>
                  <c:y val="-6.8643718385776598E-3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en-US"/>
                      <a:t>49,2</a:t>
                    </a:r>
                  </a:p>
                </c:rich>
              </c:tx>
              <c:spPr>
                <a:noFill/>
                <a:ln w="25356">
                  <a:noFill/>
                </a:ln>
              </c:sp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FB71-489C-A15A-29BBAA5B03B6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2.0459637667242813E-3"/>
                  <c:y val="-3.6648555461923552E-4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en-US"/>
                      <a:t>1,2</a:t>
                    </a:r>
                  </a:p>
                </c:rich>
              </c:tx>
              <c:spPr>
                <a:noFill/>
                <a:ln w="25356">
                  <a:noFill/>
                </a:ln>
              </c:sp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FB71-489C-A15A-29BBAA5B03B6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3.4620062736060433E-3"/>
                  <c:y val="-5.6154419811914654E-3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en-US"/>
                      <a:t>2,3</a:t>
                    </a:r>
                  </a:p>
                </c:rich>
              </c:tx>
              <c:spPr>
                <a:noFill/>
                <a:ln w="25356">
                  <a:noFill/>
                </a:ln>
              </c:sp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FB71-489C-A15A-29BBAA5B03B6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5.3203261096788079E-3"/>
                  <c:y val="-5.7276173811606768E-3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en-US"/>
                      <a:t>38,7</a:t>
                    </a:r>
                  </a:p>
                </c:rich>
              </c:tx>
              <c:spPr>
                <a:noFill/>
                <a:ln w="25356">
                  <a:noFill/>
                </a:ln>
              </c:sp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FB71-489C-A15A-29BBAA5B03B6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2.7540008826330009E-3"/>
                  <c:y val="-5.4532838567593611E-3"/>
                </c:manualLayout>
              </c:layout>
              <c:spPr>
                <a:noFill/>
                <a:ln w="25356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FB71-489C-A15A-29BBAA5B03B6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356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На харчування* </c:v>
                </c:pt>
                <c:pt idx="1">
                  <c:v>На алкогольні напої</c:v>
                </c:pt>
                <c:pt idx="2">
                  <c:v>На тютюнові вироби</c:v>
                </c:pt>
                <c:pt idx="3">
                  <c:v>На непродовольчі товари і послуги**</c:v>
                </c:pt>
                <c:pt idx="4">
                  <c:v>Інші витрати</c:v>
                </c:pt>
              </c:strCache>
            </c:strRef>
          </c:cat>
          <c:val>
            <c:numRef>
              <c:f>Лист1!$B$2:$B$6</c:f>
              <c:numCache>
                <c:formatCode>0.0</c:formatCode>
                <c:ptCount val="5"/>
                <c:pt idx="0">
                  <c:v>49.2</c:v>
                </c:pt>
                <c:pt idx="1">
                  <c:v>1.2</c:v>
                </c:pt>
                <c:pt idx="2">
                  <c:v>2.2999999999999998</c:v>
                </c:pt>
                <c:pt idx="3">
                  <c:v>38.700000000000003</c:v>
                </c:pt>
                <c:pt idx="4">
                  <c:v>8.6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FB71-489C-A15A-29BBAA5B03B6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2021</c:v>
                </c:pt>
              </c:strCache>
            </c:strRef>
          </c:tx>
          <c:spPr>
            <a:blipFill>
              <a:blip xmlns:r="http://schemas.openxmlformats.org/officeDocument/2006/relationships" r:embed="rId1"/>
              <a:tile tx="0" ty="0" sx="100000" sy="100000" flip="none" algn="tl"/>
            </a:blipFill>
            <a:ln w="12678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6.9865514598285716E-3"/>
                  <c:y val="-6.8197222473627417E-3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en-US"/>
                      <a:t>47,1</a:t>
                    </a:r>
                  </a:p>
                </c:rich>
              </c:tx>
              <c:spPr>
                <a:noFill/>
                <a:ln w="25356">
                  <a:noFill/>
                </a:ln>
              </c:sp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FB71-489C-A15A-29BBAA5B03B6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2.650314728358083E-3"/>
                  <c:y val="-3.7228105107550702E-3"/>
                </c:manualLayout>
              </c:layout>
              <c:spPr>
                <a:noFill/>
                <a:ln w="25356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FB71-489C-A15A-29BBAA5B03B6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0"/>
                  <c:y val="-9.8400984009841003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2,0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8-FB71-489C-A15A-29BBAA5B03B6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1.1234339070448018E-2"/>
                  <c:y val="8.1354773182087392E-3"/>
                </c:manualLayout>
              </c:layout>
              <c:spPr>
                <a:noFill/>
                <a:ln w="25356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FB71-489C-A15A-29BBAA5B03B6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5.1281908345527372E-3"/>
                  <c:y val="6.4178759264287288E-3"/>
                </c:manualLayout>
              </c:layout>
              <c:spPr>
                <a:noFill/>
                <a:ln w="25356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A-FB71-489C-A15A-29BBAA5B03B6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356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На харчування* </c:v>
                </c:pt>
                <c:pt idx="1">
                  <c:v>На алкогольні напої</c:v>
                </c:pt>
                <c:pt idx="2">
                  <c:v>На тютюнові вироби</c:v>
                </c:pt>
                <c:pt idx="3">
                  <c:v>На непродовольчі товари і послуги**</c:v>
                </c:pt>
                <c:pt idx="4">
                  <c:v>Інші витрати</c:v>
                </c:pt>
              </c:strCache>
            </c:strRef>
          </c:cat>
          <c:val>
            <c:numRef>
              <c:f>Лист1!$C$2:$C$6</c:f>
              <c:numCache>
                <c:formatCode>0.0</c:formatCode>
                <c:ptCount val="5"/>
                <c:pt idx="0">
                  <c:v>47.1</c:v>
                </c:pt>
                <c:pt idx="1">
                  <c:v>1</c:v>
                </c:pt>
                <c:pt idx="2">
                  <c:v>2</c:v>
                </c:pt>
                <c:pt idx="3">
                  <c:v>41.2</c:v>
                </c:pt>
                <c:pt idx="4">
                  <c:v>8.6999999999999993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B-FB71-489C-A15A-29BBAA5B03B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0"/>
        <c:axId val="148045216"/>
        <c:axId val="148045776"/>
      </c:barChart>
      <c:catAx>
        <c:axId val="148045216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r>
                  <a:rPr lang="uk-UA" sz="800"/>
                  <a:t>%</a:t>
                </a:r>
              </a:p>
            </c:rich>
          </c:tx>
          <c:layout>
            <c:manualLayout>
              <c:xMode val="edge"/>
              <c:yMode val="edge"/>
              <c:x val="4.424776171271274E-2"/>
              <c:y val="7.9927891575830606E-2"/>
            </c:manualLayout>
          </c:layout>
          <c:overlay val="0"/>
          <c:spPr>
            <a:noFill/>
            <a:ln w="25356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316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uk-UA"/>
          </a:p>
        </c:txPr>
        <c:crossAx val="14804577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48045776"/>
        <c:scaling>
          <c:orientation val="minMax"/>
        </c:scaling>
        <c:delete val="0"/>
        <c:axPos val="l"/>
        <c:majorGridlines>
          <c:spPr>
            <a:ln w="3169">
              <a:solidFill>
                <a:srgbClr val="FFFFFF"/>
              </a:solidFill>
              <a:prstDash val="solid"/>
            </a:ln>
          </c:spPr>
        </c:majorGridlines>
        <c:numFmt formatCode="0.0" sourceLinked="1"/>
        <c:majorTickMark val="out"/>
        <c:minorTickMark val="none"/>
        <c:tickLblPos val="nextTo"/>
        <c:spPr>
          <a:ln w="316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uk-UA"/>
          </a:p>
        </c:txPr>
        <c:crossAx val="148045216"/>
        <c:crosses val="autoZero"/>
        <c:crossBetween val="between"/>
      </c:valAx>
      <c:spPr>
        <a:solidFill>
          <a:srgbClr val="FFFFFF"/>
        </a:solidFill>
        <a:ln w="12678">
          <a:solidFill>
            <a:srgbClr val="FFFFFF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8294224807264946"/>
          <c:y val="0.13355247260759071"/>
          <c:w val="9.6021290021674116E-2"/>
          <c:h val="0.16146689997083699"/>
        </c:manualLayout>
      </c:layout>
      <c:overlay val="0"/>
      <c:spPr>
        <a:solidFill>
          <a:srgbClr val="FFFFFF"/>
        </a:solidFill>
        <a:ln w="3169">
          <a:solidFill>
            <a:srgbClr val="000000"/>
          </a:solidFill>
          <a:prstDash val="solid"/>
        </a:ln>
      </c:spPr>
      <c:txPr>
        <a:bodyPr/>
        <a:lstStyle/>
        <a:p>
          <a:pPr>
            <a:defRPr sz="800" b="0" i="0" u="none" strike="noStrike" baseline="0">
              <a:solidFill>
                <a:srgbClr val="000000"/>
              </a:solidFill>
              <a:latin typeface="Times New Roman"/>
              <a:ea typeface="Times New Roman"/>
              <a:cs typeface="Times New Roman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998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uk-UA"/>
    </a:p>
  </c:txPr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998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uk-UA" sz="1200" b="1" i="0" u="none" strike="noStrike" baseline="0">
                <a:solidFill>
                  <a:srgbClr val="000000"/>
                </a:solidFill>
                <a:latin typeface="Times New Roman"/>
                <a:cs typeface="Times New Roman"/>
              </a:rPr>
              <a:t>Споживання продуктів харчування  домогосподарствами </a:t>
            </a:r>
            <a:r>
              <a:rPr lang="uk-UA" sz="1050" b="1" i="0" u="none" strike="noStrike" baseline="0">
                <a:solidFill>
                  <a:srgbClr val="000000"/>
                </a:solidFill>
                <a:latin typeface="Times New Roman"/>
                <a:cs typeface="Times New Roman"/>
              </a:rPr>
              <a:t/>
            </a:r>
            <a:br>
              <a:rPr lang="uk-UA" sz="1050" b="1" i="0" u="none" strike="noStrike" baseline="0">
                <a:solidFill>
                  <a:srgbClr val="000000"/>
                </a:solidFill>
                <a:latin typeface="Times New Roman"/>
                <a:cs typeface="Times New Roman"/>
              </a:rPr>
            </a:br>
            <a:r>
              <a:rPr lang="uk-UA" sz="1000" b="0" i="0" u="none" strike="noStrike" baseline="0">
                <a:solidFill>
                  <a:srgbClr val="000000"/>
                </a:solidFill>
                <a:latin typeface="Times New Roman"/>
                <a:cs typeface="Times New Roman"/>
              </a:rPr>
              <a:t>(у середньому за місяць у розрахунку на одну особу, кг)</a:t>
            </a:r>
          </a:p>
        </c:rich>
      </c:tx>
      <c:layout>
        <c:manualLayout>
          <c:xMode val="edge"/>
          <c:yMode val="edge"/>
          <c:x val="0.16578032228261719"/>
          <c:y val="0"/>
        </c:manualLayout>
      </c:layout>
      <c:overlay val="0"/>
      <c:spPr>
        <a:noFill/>
        <a:ln w="25358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7.4539919903662183E-2"/>
          <c:y val="0.19348243703579607"/>
          <c:w val="0.86926094707138579"/>
          <c:h val="0.35914899216985063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Лист3!$B$1</c:f>
              <c:strCache>
                <c:ptCount val="1"/>
                <c:pt idx="0">
                  <c:v>2020</c:v>
                </c:pt>
              </c:strCache>
            </c:strRef>
          </c:tx>
          <c:spPr>
            <a:solidFill>
              <a:schemeClr val="accent2">
                <a:lumMod val="40000"/>
                <a:lumOff val="60000"/>
              </a:schemeClr>
            </a:solidFill>
            <a:ln w="12679">
              <a:solidFill>
                <a:srgbClr val="000000"/>
              </a:solidFill>
              <a:prstDash val="solid"/>
            </a:ln>
          </c:spPr>
          <c:invertIfNegative val="0"/>
          <c:dPt>
            <c:idx val="3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0-CD16-4B78-BAA5-57F069223EBA}"/>
              </c:ext>
            </c:extLst>
          </c:dPt>
          <c:dLbls>
            <c:dLbl>
              <c:idx val="0"/>
              <c:layout>
                <c:manualLayout>
                  <c:x val="-8.4305515322290398E-4"/>
                  <c:y val="9.7813145697213374E-2"/>
                </c:manualLayout>
              </c:layout>
              <c:spPr>
                <a:solidFill>
                  <a:srgbClr val="FFFFFF"/>
                </a:solidFill>
                <a:ln w="3170">
                  <a:solidFill>
                    <a:srgbClr val="000000"/>
                  </a:solidFill>
                  <a:prstDash val="solid"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CD16-4B78-BAA5-57F069223EBA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8.5966957957210599E-3"/>
                  <c:y val="5.1048938031682201E-2"/>
                </c:manualLayout>
              </c:layout>
              <c:spPr>
                <a:solidFill>
                  <a:srgbClr val="FFFFFF"/>
                </a:solidFill>
                <a:ln w="3170">
                  <a:solidFill>
                    <a:srgbClr val="000000"/>
                  </a:solidFill>
                  <a:prstDash val="solid"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CD16-4B78-BAA5-57F069223EBA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1.3588376328167007E-2"/>
                  <c:y val="3.6716740194709718E-2"/>
                </c:manualLayout>
              </c:layout>
              <c:spPr>
                <a:solidFill>
                  <a:srgbClr val="FFFFFF"/>
                </a:solidFill>
                <a:ln w="3170">
                  <a:solidFill>
                    <a:srgbClr val="000000"/>
                  </a:solidFill>
                  <a:prstDash val="solid"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CD16-4B78-BAA5-57F069223EBA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1.9413794011534512E-3"/>
                  <c:y val="0.15344278773663925"/>
                </c:manualLayout>
              </c:layout>
              <c:spPr>
                <a:solidFill>
                  <a:srgbClr val="FFFFFF"/>
                </a:solidFill>
                <a:ln w="3170">
                  <a:solidFill>
                    <a:srgbClr val="000000"/>
                  </a:solidFill>
                  <a:prstDash val="solid"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CD16-4B78-BAA5-57F069223EBA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6.4115731352978869E-3"/>
                  <c:y val="0.10815621451573873"/>
                </c:manualLayout>
              </c:layout>
              <c:tx>
                <c:rich>
                  <a:bodyPr/>
                  <a:lstStyle/>
                  <a:p>
                    <a:pPr>
                      <a:defRPr sz="800" b="0" i="0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en-US" sz="800"/>
                      <a:t>19</a:t>
                    </a:r>
                  </a:p>
                </c:rich>
              </c:tx>
              <c:spPr>
                <a:solidFill>
                  <a:srgbClr val="FFFFFF"/>
                </a:solidFill>
                <a:ln w="3170">
                  <a:solidFill>
                    <a:srgbClr val="000000"/>
                  </a:solidFill>
                  <a:prstDash val="solid"/>
                </a:ln>
              </c:sp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CD16-4B78-BAA5-57F069223EBA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1.5252269838982313E-2"/>
                  <c:y val="3.0880661193946501E-2"/>
                </c:manualLayout>
              </c:layout>
              <c:spPr>
                <a:solidFill>
                  <a:srgbClr val="FFFFFF"/>
                </a:solidFill>
                <a:ln w="3170">
                  <a:solidFill>
                    <a:srgbClr val="000000"/>
                  </a:solidFill>
                  <a:prstDash val="solid"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CD16-4B78-BAA5-57F069223EBA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1.3588376328167007E-2"/>
                  <c:y val="4.055844083319371E-2"/>
                </c:manualLayout>
              </c:layout>
              <c:spPr>
                <a:solidFill>
                  <a:srgbClr val="FFFFFF"/>
                </a:solidFill>
                <a:ln w="3170">
                  <a:solidFill>
                    <a:srgbClr val="000000"/>
                  </a:solidFill>
                  <a:prstDash val="solid"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CD16-4B78-BAA5-57F069223EBA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1.3865992503445431E-3"/>
                  <c:y val="8.7248934308743323E-2"/>
                </c:manualLayout>
              </c:layout>
              <c:spPr>
                <a:solidFill>
                  <a:srgbClr val="FFFFFF"/>
                </a:solidFill>
                <a:ln w="3170">
                  <a:solidFill>
                    <a:srgbClr val="000000"/>
                  </a:solidFill>
                  <a:prstDash val="solid"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CD16-4B78-BAA5-57F069223EBA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3.6051931635635846E-3"/>
                  <c:y val="0.1067522942610897"/>
                </c:manualLayout>
              </c:layout>
              <c:spPr>
                <a:solidFill>
                  <a:srgbClr val="FFFFFF"/>
                </a:solidFill>
                <a:ln w="3170">
                  <a:solidFill>
                    <a:srgbClr val="000000"/>
                  </a:solidFill>
                  <a:prstDash val="solid"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8-CD16-4B78-BAA5-57F069223EBA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3.0505587799860567E-3"/>
                  <c:y val="4.3661510396306835E-2"/>
                </c:manualLayout>
              </c:layout>
              <c:spPr>
                <a:solidFill>
                  <a:srgbClr val="FFFFFF"/>
                </a:solidFill>
                <a:ln w="3170">
                  <a:solidFill>
                    <a:srgbClr val="000000"/>
                  </a:solidFill>
                  <a:prstDash val="solid"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CD16-4B78-BAA5-57F069223EBA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solidFill>
                <a:srgbClr val="FFFFFF"/>
              </a:solidFill>
              <a:ln w="3170">
                <a:solidFill>
                  <a:srgbClr val="000000"/>
                </a:solidFill>
                <a:prstDash val="solid"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Лист3!$A$2:$A$11</c:f>
              <c:strCache>
                <c:ptCount val="10"/>
                <c:pt idx="0">
                  <c:v>Хліб і хлібні продукти</c:v>
                </c:pt>
                <c:pt idx="1">
                  <c:v>М 'ясо і м'ясопродукти</c:v>
                </c:pt>
                <c:pt idx="2">
                  <c:v>Риба і рибопродукти</c:v>
                </c:pt>
                <c:pt idx="3">
                  <c:v>Молоко та молокопродукти</c:v>
                </c:pt>
                <c:pt idx="4">
                  <c:v>Яйця, шт.</c:v>
                </c:pt>
                <c:pt idx="5">
                  <c:v>Олія та інші рослинні жири</c:v>
                </c:pt>
                <c:pt idx="6">
                  <c:v>Фрукти, ягоди, горіхи, виноград</c:v>
                </c:pt>
                <c:pt idx="7">
                  <c:v>Картопля</c:v>
                </c:pt>
                <c:pt idx="8">
                  <c:v>Овочі і баштанні</c:v>
                </c:pt>
                <c:pt idx="9">
                  <c:v>Цукор*</c:v>
                </c:pt>
              </c:strCache>
            </c:strRef>
          </c:cat>
          <c:val>
            <c:numRef>
              <c:f>Лист3!$B$2:$B$11</c:f>
              <c:numCache>
                <c:formatCode>0.0</c:formatCode>
                <c:ptCount val="10"/>
                <c:pt idx="0">
                  <c:v>8</c:v>
                </c:pt>
                <c:pt idx="1">
                  <c:v>5.2</c:v>
                </c:pt>
                <c:pt idx="2">
                  <c:v>1.4</c:v>
                </c:pt>
                <c:pt idx="3">
                  <c:v>18.899999999999999</c:v>
                </c:pt>
                <c:pt idx="4" formatCode="0">
                  <c:v>19</c:v>
                </c:pt>
                <c:pt idx="5">
                  <c:v>1.4</c:v>
                </c:pt>
                <c:pt idx="6">
                  <c:v>3.7</c:v>
                </c:pt>
                <c:pt idx="7">
                  <c:v>6</c:v>
                </c:pt>
                <c:pt idx="8">
                  <c:v>8.6999999999999993</c:v>
                </c:pt>
                <c:pt idx="9">
                  <c:v>2.4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A-CD16-4B78-BAA5-57F069223EB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0"/>
        <c:axId val="148048576"/>
        <c:axId val="148049136"/>
      </c:barChart>
      <c:lineChart>
        <c:grouping val="standard"/>
        <c:varyColors val="0"/>
        <c:ser>
          <c:idx val="0"/>
          <c:order val="1"/>
          <c:tx>
            <c:strRef>
              <c:f>Лист3!$C$1</c:f>
              <c:strCache>
                <c:ptCount val="1"/>
                <c:pt idx="0">
                  <c:v>2021</c:v>
                </c:pt>
              </c:strCache>
            </c:strRef>
          </c:tx>
          <c:spPr>
            <a:ln w="12679">
              <a:solidFill>
                <a:srgbClr val="00008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3.3000641974661654E-2"/>
                  <c:y val="-4.2922507027047141E-2"/>
                </c:manualLayout>
              </c:layout>
              <c:spPr>
                <a:noFill/>
                <a:ln w="25358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B-CD16-4B78-BAA5-57F069223EBA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1.9689451041072656E-2"/>
                  <c:y val="-3.9631814825375242E-2"/>
                </c:manualLayout>
              </c:layout>
              <c:spPr>
                <a:noFill/>
                <a:ln w="25358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C-CD16-4B78-BAA5-57F069223EBA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7992330228279504E-2"/>
                  <c:y val="-6.0888294255697216E-2"/>
                </c:manualLayout>
              </c:layout>
              <c:spPr>
                <a:noFill/>
                <a:ln w="25358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D-CD16-4B78-BAA5-57F069223EBA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9466318525913667E-2"/>
                  <c:y val="-3.8207619590726681E-2"/>
                </c:manualLayout>
              </c:layout>
              <c:spPr>
                <a:noFill/>
                <a:ln w="25358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E-CD16-4B78-BAA5-57F069223EBA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1.55673163805344E-2"/>
                  <c:y val="-3.4629584950906206E-2"/>
                </c:manualLayout>
              </c:layout>
              <c:tx>
                <c:rich>
                  <a:bodyPr/>
                  <a:lstStyle/>
                  <a:p>
                    <a:pPr>
                      <a:defRPr sz="800" b="0" i="0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en-US" sz="800"/>
                      <a:t>19</a:t>
                    </a:r>
                  </a:p>
                </c:rich>
              </c:tx>
              <c:spPr>
                <a:noFill/>
                <a:ln w="25358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F-CD16-4B78-BAA5-57F069223EBA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1.7184112102193908E-2"/>
                  <c:y val="-4.5615774351325931E-2"/>
                </c:manualLayout>
              </c:layout>
              <c:spPr>
                <a:noFill/>
                <a:ln w="25358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0-CD16-4B78-BAA5-57F069223EBA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1.8094386883938739E-2"/>
                  <c:y val="-4.3466321584453821E-2"/>
                </c:manualLayout>
              </c:layout>
              <c:spPr>
                <a:noFill/>
                <a:ln w="25358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1-CD16-4B78-BAA5-57F069223EBA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2.468117442058515E-2"/>
                  <c:y val="-4.0484726643212121E-2"/>
                </c:manualLayout>
              </c:layout>
              <c:spPr>
                <a:noFill/>
                <a:ln w="25358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2-CD16-4B78-BAA5-57F069223EBA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2.8008961442215763E-2"/>
                  <c:y val="-4.6837921855512721E-2"/>
                </c:manualLayout>
              </c:layout>
              <c:spPr>
                <a:noFill/>
                <a:ln w="25358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3-CD16-4B78-BAA5-57F069223EBA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2.3428587301250137E-2"/>
                  <c:y val="-5.2935903903376984E-2"/>
                </c:manualLayout>
              </c:layout>
              <c:spPr>
                <a:noFill/>
                <a:ln w="25358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4-CD16-4B78-BAA5-57F069223EBA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358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Лист3!$A$2:$A$11</c:f>
              <c:strCache>
                <c:ptCount val="10"/>
                <c:pt idx="0">
                  <c:v>Хліб і хлібні продукти</c:v>
                </c:pt>
                <c:pt idx="1">
                  <c:v>М 'ясо і м'ясопродукти</c:v>
                </c:pt>
                <c:pt idx="2">
                  <c:v>Риба і рибопродукти</c:v>
                </c:pt>
                <c:pt idx="3">
                  <c:v>Молоко та молокопродукти</c:v>
                </c:pt>
                <c:pt idx="4">
                  <c:v>Яйця, шт.</c:v>
                </c:pt>
                <c:pt idx="5">
                  <c:v>Олія та інші рослинні жири</c:v>
                </c:pt>
                <c:pt idx="6">
                  <c:v>Фрукти, ягоди, горіхи, виноград</c:v>
                </c:pt>
                <c:pt idx="7">
                  <c:v>Картопля</c:v>
                </c:pt>
                <c:pt idx="8">
                  <c:v>Овочі і баштанні</c:v>
                </c:pt>
                <c:pt idx="9">
                  <c:v>Цукор*</c:v>
                </c:pt>
              </c:strCache>
            </c:strRef>
          </c:cat>
          <c:val>
            <c:numRef>
              <c:f>Лист3!$C$2:$C$11</c:f>
              <c:numCache>
                <c:formatCode>0.0</c:formatCode>
                <c:ptCount val="10"/>
                <c:pt idx="0">
                  <c:v>7.6</c:v>
                </c:pt>
                <c:pt idx="1">
                  <c:v>5.0999999999999996</c:v>
                </c:pt>
                <c:pt idx="2">
                  <c:v>1.4</c:v>
                </c:pt>
                <c:pt idx="3">
                  <c:v>18.8</c:v>
                </c:pt>
                <c:pt idx="4" formatCode="0">
                  <c:v>19</c:v>
                </c:pt>
                <c:pt idx="5">
                  <c:v>1.3</c:v>
                </c:pt>
                <c:pt idx="6">
                  <c:v>3.9</c:v>
                </c:pt>
                <c:pt idx="7">
                  <c:v>5.8</c:v>
                </c:pt>
                <c:pt idx="8">
                  <c:v>8.5</c:v>
                </c:pt>
                <c:pt idx="9">
                  <c:v>2.2999999999999998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5-CD16-4B78-BAA5-57F069223EB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48049696"/>
        <c:axId val="148050256"/>
      </c:lineChart>
      <c:catAx>
        <c:axId val="148048576"/>
        <c:scaling>
          <c:orientation val="minMax"/>
        </c:scaling>
        <c:delete val="0"/>
        <c:axPos val="b"/>
        <c:numFmt formatCode="General" sourceLinked="1"/>
        <c:majorTickMark val="cross"/>
        <c:minorTickMark val="none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-540000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uk-UA"/>
          </a:p>
        </c:txPr>
        <c:crossAx val="148049136"/>
        <c:crosses val="autoZero"/>
        <c:auto val="0"/>
        <c:lblAlgn val="ctr"/>
        <c:lblOffset val="100"/>
        <c:tickLblSkip val="1"/>
        <c:tickMarkSkip val="1"/>
        <c:noMultiLvlLbl val="0"/>
      </c:catAx>
      <c:valAx>
        <c:axId val="148049136"/>
        <c:scaling>
          <c:orientation val="minMax"/>
          <c:max val="24"/>
        </c:scaling>
        <c:delete val="0"/>
        <c:axPos val="l"/>
        <c:title>
          <c:tx>
            <c:rich>
              <a:bodyPr rot="0" vert="horz"/>
              <a:lstStyle/>
              <a:p>
                <a:pPr algn="ctr">
                  <a:defRPr sz="900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r>
                  <a:rPr lang="uk-UA" sz="900"/>
                  <a:t>кг</a:t>
                </a:r>
              </a:p>
            </c:rich>
          </c:tx>
          <c:layout>
            <c:manualLayout>
              <c:xMode val="edge"/>
              <c:yMode val="edge"/>
              <c:x val="6.4145532856328208E-2"/>
              <c:y val="0.1149658305095764"/>
            </c:manualLayout>
          </c:layout>
          <c:overlay val="0"/>
          <c:spPr>
            <a:noFill/>
            <a:ln w="25358">
              <a:noFill/>
            </a:ln>
          </c:spPr>
        </c:title>
        <c:numFmt formatCode="0.0" sourceLinked="1"/>
        <c:majorTickMark val="cross"/>
        <c:minorTickMark val="none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uk-UA"/>
          </a:p>
        </c:txPr>
        <c:crossAx val="148048576"/>
        <c:crosses val="autoZero"/>
        <c:crossBetween val="between"/>
        <c:majorUnit val="4"/>
        <c:minorUnit val="0.8"/>
      </c:valAx>
      <c:catAx>
        <c:axId val="148049696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148050256"/>
        <c:crosses val="autoZero"/>
        <c:auto val="0"/>
        <c:lblAlgn val="ctr"/>
        <c:lblOffset val="100"/>
        <c:noMultiLvlLbl val="0"/>
      </c:catAx>
      <c:valAx>
        <c:axId val="148050256"/>
        <c:scaling>
          <c:orientation val="minMax"/>
        </c:scaling>
        <c:delete val="1"/>
        <c:axPos val="l"/>
        <c:numFmt formatCode="0.0" sourceLinked="1"/>
        <c:majorTickMark val="out"/>
        <c:minorTickMark val="none"/>
        <c:tickLblPos val="nextTo"/>
        <c:crossAx val="148049696"/>
        <c:crosses val="autoZero"/>
        <c:crossBetween val="between"/>
      </c:valAx>
      <c:spPr>
        <a:noFill/>
        <a:ln w="25358">
          <a:noFill/>
        </a:ln>
      </c:spPr>
    </c:plotArea>
    <c:legend>
      <c:legendPos val="b"/>
      <c:layout>
        <c:manualLayout>
          <c:xMode val="edge"/>
          <c:yMode val="edge"/>
          <c:x val="0.81274815572303805"/>
          <c:y val="0.12252610517490974"/>
          <c:w val="0.12920803969850314"/>
          <c:h val="9.9962421131898904E-2"/>
        </c:manualLayout>
      </c:layout>
      <c:overlay val="0"/>
      <c:spPr>
        <a:solidFill>
          <a:srgbClr val="FFFFFF"/>
        </a:solidFill>
        <a:ln w="6350">
          <a:solidFill>
            <a:schemeClr val="tx1"/>
          </a:solidFill>
          <a:prstDash val="solid"/>
        </a:ln>
      </c:spPr>
      <c:txPr>
        <a:bodyPr/>
        <a:lstStyle/>
        <a:p>
          <a:pPr>
            <a:defRPr sz="918" b="0" i="0" u="none" strike="noStrike" baseline="0">
              <a:ln>
                <a:noFill/>
              </a:ln>
              <a:solidFill>
                <a:schemeClr val="tx1"/>
              </a:solidFill>
              <a:latin typeface="Times New Roman"/>
              <a:ea typeface="Times New Roman"/>
              <a:cs typeface="Times New Roman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998" b="0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uk-UA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797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r>
              <a:rPr lang="uk-UA" sz="1200" b="1" i="0" u="none" strike="noStrike" baseline="0">
                <a:solidFill>
                  <a:srgbClr val="000000"/>
                </a:solidFill>
                <a:latin typeface="Times New Roman"/>
                <a:cs typeface="Times New Roman"/>
              </a:rPr>
              <a:t>Споживання продуктів харчування у домогосподарствах </a:t>
            </a:r>
            <a:br>
              <a:rPr lang="uk-UA" sz="1200" b="1" i="0" u="none" strike="noStrike" baseline="0">
                <a:solidFill>
                  <a:srgbClr val="000000"/>
                </a:solidFill>
                <a:latin typeface="Times New Roman"/>
                <a:cs typeface="Times New Roman"/>
              </a:rPr>
            </a:br>
            <a:r>
              <a:rPr lang="uk-UA" sz="1200" b="1" i="0" u="none" strike="noStrike" baseline="0">
                <a:solidFill>
                  <a:srgbClr val="000000"/>
                </a:solidFill>
                <a:latin typeface="Times New Roman"/>
                <a:cs typeface="Times New Roman"/>
              </a:rPr>
              <a:t>з дітьми та без дітей </a:t>
            </a:r>
            <a:endParaRPr lang="uk-UA" sz="1200" b="0" i="0" u="none" strike="noStrike" baseline="0">
              <a:solidFill>
                <a:srgbClr val="000000"/>
              </a:solidFill>
              <a:latin typeface="Arial Cyr"/>
              <a:cs typeface="Arial Cyr"/>
            </a:endParaRPr>
          </a:p>
          <a:p>
            <a:pPr>
              <a:defRPr sz="797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r>
              <a:rPr lang="uk-UA" sz="900" b="0" i="0" u="none" strike="noStrike" baseline="0">
                <a:solidFill>
                  <a:srgbClr val="000000"/>
                </a:solidFill>
                <a:latin typeface="Times New Roman"/>
                <a:cs typeface="Times New Roman"/>
              </a:rPr>
              <a:t>(у середньому за місяць у розрахунку на одну особу, кг)</a:t>
            </a:r>
          </a:p>
        </c:rich>
      </c:tx>
      <c:layout>
        <c:manualLayout>
          <c:xMode val="edge"/>
          <c:yMode val="edge"/>
          <c:x val="0.15701626228296586"/>
          <c:y val="0"/>
        </c:manualLayout>
      </c:layout>
      <c:overlay val="0"/>
      <c:spPr>
        <a:noFill/>
        <a:ln w="25372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5.984556769113538E-2"/>
          <c:y val="0.20650010838602523"/>
          <c:w val="0.94015444015444016"/>
          <c:h val="0.5048543689320388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Лист2!$B$1</c:f>
              <c:strCache>
                <c:ptCount val="1"/>
                <c:pt idx="0">
                  <c:v>Домогосподарства з дітьми</c:v>
                </c:pt>
              </c:strCache>
            </c:strRef>
          </c:tx>
          <c:spPr>
            <a:solidFill>
              <a:schemeClr val="accent6">
                <a:lumMod val="75000"/>
              </a:schemeClr>
            </a:solidFill>
            <a:ln w="12686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-5.5351189209457141E-4"/>
                  <c:y val="2.2353031113829802E-3"/>
                </c:manualLayout>
              </c:layout>
              <c:spPr>
                <a:noFill/>
                <a:ln w="2537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FCA1-410F-998F-892BF1BFEFDB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8354665126318632E-3"/>
                  <c:y val="3.5556235082264687E-3"/>
                </c:manualLayout>
              </c:layout>
              <c:spPr>
                <a:noFill/>
                <a:ln w="2537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FCA1-410F-998F-892BF1BFEFDB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256214594797302E-3"/>
                  <c:y val="3.2447400385631209E-3"/>
                </c:manualLayout>
              </c:layout>
              <c:spPr>
                <a:noFill/>
                <a:ln w="2537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FCA1-410F-998F-892BF1BFEFDB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1.683417951134486E-2"/>
                  <c:y val="-1.3842638602213575E-2"/>
                </c:manualLayout>
              </c:layout>
              <c:spPr>
                <a:noFill/>
                <a:ln w="2537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FCA1-410F-998F-892BF1BFEFDB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8.109121494948579E-4"/>
                  <c:y val="-5.6094929881334021E-4"/>
                </c:manualLayout>
              </c:layout>
              <c:spPr>
                <a:noFill/>
                <a:ln w="2537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FCA1-410F-998F-892BF1BFEFDB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9.2408719180372412E-3"/>
                  <c:y val="5.2642934196331925E-3"/>
                </c:manualLayout>
              </c:layout>
              <c:spPr>
                <a:noFill/>
                <a:ln w="2537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FCA1-410F-998F-892BF1BFEFDB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9.9088965230686998E-4"/>
                  <c:y val="3.5814455231930609E-3"/>
                </c:manualLayout>
              </c:layout>
              <c:spPr>
                <a:noFill/>
                <a:ln w="2537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FCA1-410F-998F-892BF1BFEFDB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3.6056303772835641E-4"/>
                  <c:y val="-4.211366783035575E-3"/>
                </c:manualLayout>
              </c:layout>
              <c:spPr>
                <a:noFill/>
                <a:ln w="2537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FCA1-410F-998F-892BF1BFEFDB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3.6423149808976207E-3"/>
                  <c:y val="5.445387287754011E-3"/>
                </c:manualLayout>
              </c:layout>
              <c:spPr>
                <a:noFill/>
                <a:ln w="2537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8-FCA1-410F-998F-892BF1BFEFDB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3.0632657404311425E-3"/>
                  <c:y val="3.6072675381596531E-3"/>
                </c:manualLayout>
              </c:layout>
              <c:spPr>
                <a:noFill/>
                <a:ln w="2537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FCA1-410F-998F-892BF1BFEFDB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372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99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Лист2!$A$2:$A$11</c:f>
              <c:strCache>
                <c:ptCount val="10"/>
                <c:pt idx="0">
                  <c:v>Хліб і хлібні продукти</c:v>
                </c:pt>
                <c:pt idx="1">
                  <c:v>М`ясо і м`ясопродукти</c:v>
                </c:pt>
                <c:pt idx="2">
                  <c:v>Риба і рибопродукти</c:v>
                </c:pt>
                <c:pt idx="3">
                  <c:v>Молоко і молокопродукти</c:v>
                </c:pt>
                <c:pt idx="4">
                  <c:v>Яйця, штук</c:v>
                </c:pt>
                <c:pt idx="5">
                  <c:v>Олія та інші рослинні жири</c:v>
                </c:pt>
                <c:pt idx="6">
                  <c:v>Фрукти, ягоди, горіхи, виноград</c:v>
                </c:pt>
                <c:pt idx="7">
                  <c:v>Картопля</c:v>
                </c:pt>
                <c:pt idx="8">
                  <c:v>Овочі і баштанні</c:v>
                </c:pt>
                <c:pt idx="9">
                  <c:v>Цукор*</c:v>
                </c:pt>
              </c:strCache>
            </c:strRef>
          </c:cat>
          <c:val>
            <c:numRef>
              <c:f>Лист2!$B$2:$B$11</c:f>
              <c:numCache>
                <c:formatCode>0.0</c:formatCode>
                <c:ptCount val="10"/>
                <c:pt idx="0">
                  <c:v>6.5</c:v>
                </c:pt>
                <c:pt idx="1">
                  <c:v>4.5999999999999996</c:v>
                </c:pt>
                <c:pt idx="2">
                  <c:v>1.2</c:v>
                </c:pt>
                <c:pt idx="3">
                  <c:v>16.399999999999999</c:v>
                </c:pt>
                <c:pt idx="4" formatCode="0">
                  <c:v>17</c:v>
                </c:pt>
                <c:pt idx="5">
                  <c:v>1.1000000000000001</c:v>
                </c:pt>
                <c:pt idx="6">
                  <c:v>3.8</c:v>
                </c:pt>
                <c:pt idx="7">
                  <c:v>5</c:v>
                </c:pt>
                <c:pt idx="8">
                  <c:v>7.2</c:v>
                </c:pt>
                <c:pt idx="9">
                  <c:v>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A-FCA1-410F-998F-892BF1BFEFDB}"/>
            </c:ext>
          </c:extLst>
        </c:ser>
        <c:ser>
          <c:idx val="1"/>
          <c:order val="1"/>
          <c:tx>
            <c:strRef>
              <c:f>Лист2!$C$1</c:f>
              <c:strCache>
                <c:ptCount val="1"/>
                <c:pt idx="0">
                  <c:v>Домогосподарства без дітей</c:v>
                </c:pt>
              </c:strCache>
            </c:strRef>
          </c:tx>
          <c:spPr>
            <a:gradFill>
              <a:gsLst>
                <a:gs pos="0">
                  <a:schemeClr val="accent1">
                    <a:lumMod val="5000"/>
                    <a:lumOff val="95000"/>
                  </a:schemeClr>
                </a:gs>
                <a:gs pos="89000">
                  <a:schemeClr val="accent1">
                    <a:lumMod val="45000"/>
                    <a:lumOff val="55000"/>
                  </a:schemeClr>
                </a:gs>
                <a:gs pos="83000">
                  <a:schemeClr val="accent1">
                    <a:lumMod val="45000"/>
                    <a:lumOff val="55000"/>
                  </a:schemeClr>
                </a:gs>
                <a:gs pos="100000">
                  <a:schemeClr val="accent1">
                    <a:lumMod val="30000"/>
                    <a:lumOff val="70000"/>
                  </a:schemeClr>
                </a:gs>
              </a:gsLst>
              <a:lin ang="5400000" scaled="1"/>
            </a:gradFill>
            <a:ln w="12686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1.1327638099291604E-3"/>
                  <c:y val="2.1316752881618273E-3"/>
                </c:manualLayout>
              </c:layout>
              <c:spPr>
                <a:noFill/>
                <a:ln w="25372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B-FCA1-410F-998F-892BF1BFEFDB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4.2860183017663089E-3"/>
                  <c:y val="2.6739376024598194E-4"/>
                </c:manualLayout>
              </c:layout>
              <c:spPr>
                <a:noFill/>
                <a:ln w="25372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C-FCA1-410F-998F-892BF1BFEFDB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2.9345656117309993E-3"/>
                  <c:y val="1.1997044058812412E-3"/>
                </c:manualLayout>
              </c:layout>
              <c:spPr>
                <a:noFill/>
                <a:ln w="25372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D-FCA1-410F-998F-892BF1BFEFDB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9.9068697493892577E-4"/>
                  <c:y val="9.4080472950588967E-4"/>
                </c:manualLayout>
              </c:layout>
              <c:spPr>
                <a:noFill/>
                <a:ln w="25372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E-FCA1-410F-998F-892BF1BFEFDB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1.5188641960295346E-3"/>
                  <c:y val="-1.4670981661273064E-3"/>
                </c:manualLayout>
              </c:layout>
              <c:spPr>
                <a:noFill/>
                <a:ln w="25372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F-FCA1-410F-998F-892BF1BFEFDB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2.7416167573647288E-3"/>
                  <c:y val="-2.036541548811277E-3"/>
                </c:manualLayout>
              </c:layout>
              <c:spPr>
                <a:noFill/>
                <a:ln w="25372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0-FCA1-410F-998F-892BF1BFEFDB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5.2511679283332446E-3"/>
                  <c:y val="-1.7001758275362322E-3"/>
                </c:manualLayout>
              </c:layout>
              <c:spPr>
                <a:noFill/>
                <a:ln w="25372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1-FCA1-410F-998F-892BF1BFEFDB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1.9694159851640913E-3"/>
                  <c:y val="-2.2424381418340023E-4"/>
                </c:manualLayout>
              </c:layout>
              <c:spPr>
                <a:noFill/>
                <a:ln w="25372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2-FCA1-410F-998F-892BF1BFEFDB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2.553734837196231E-5"/>
                  <c:y val="3.710895361380806E-3"/>
                </c:manualLayout>
              </c:layout>
              <c:spPr>
                <a:noFill/>
                <a:ln w="25372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3-FCA1-410F-998F-892BF1BFEFDB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3.1277171434651585E-3"/>
                  <c:y val="-8.7149300512190386E-4"/>
                </c:manualLayout>
              </c:layout>
              <c:spPr>
                <a:noFill/>
                <a:ln w="25372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4-FCA1-410F-998F-892BF1BFEFDB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372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Лист2!$A$2:$A$11</c:f>
              <c:strCache>
                <c:ptCount val="10"/>
                <c:pt idx="0">
                  <c:v>Хліб і хлібні продукти</c:v>
                </c:pt>
                <c:pt idx="1">
                  <c:v>М`ясо і м`ясопродукти</c:v>
                </c:pt>
                <c:pt idx="2">
                  <c:v>Риба і рибопродукти</c:v>
                </c:pt>
                <c:pt idx="3">
                  <c:v>Молоко і молокопродукти</c:v>
                </c:pt>
                <c:pt idx="4">
                  <c:v>Яйця, штук</c:v>
                </c:pt>
                <c:pt idx="5">
                  <c:v>Олія та інші рослинні жири</c:v>
                </c:pt>
                <c:pt idx="6">
                  <c:v>Фрукти, ягоди, горіхи, виноград</c:v>
                </c:pt>
                <c:pt idx="7">
                  <c:v>Картопля</c:v>
                </c:pt>
                <c:pt idx="8">
                  <c:v>Овочі і баштанні</c:v>
                </c:pt>
                <c:pt idx="9">
                  <c:v>Цукор*</c:v>
                </c:pt>
              </c:strCache>
            </c:strRef>
          </c:cat>
          <c:val>
            <c:numRef>
              <c:f>Лист2!$C$2:$C$11</c:f>
              <c:numCache>
                <c:formatCode>0.0</c:formatCode>
                <c:ptCount val="10"/>
                <c:pt idx="0">
                  <c:v>8.9</c:v>
                </c:pt>
                <c:pt idx="1">
                  <c:v>5.7</c:v>
                </c:pt>
                <c:pt idx="2">
                  <c:v>1.6</c:v>
                </c:pt>
                <c:pt idx="3">
                  <c:v>21.6</c:v>
                </c:pt>
                <c:pt idx="4" formatCode="0">
                  <c:v>20</c:v>
                </c:pt>
                <c:pt idx="5">
                  <c:v>1.5</c:v>
                </c:pt>
                <c:pt idx="6">
                  <c:v>4</c:v>
                </c:pt>
                <c:pt idx="7">
                  <c:v>6.4</c:v>
                </c:pt>
                <c:pt idx="8">
                  <c:v>10.3</c:v>
                </c:pt>
                <c:pt idx="9">
                  <c:v>2.6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5-FCA1-410F-998F-892BF1BFEFD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90"/>
        <c:axId val="148053056"/>
        <c:axId val="147660544"/>
      </c:barChart>
      <c:catAx>
        <c:axId val="14805305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2">
            <a:solidFill>
              <a:srgbClr val="000000"/>
            </a:solidFill>
            <a:prstDash val="solid"/>
          </a:ln>
        </c:spPr>
        <c:txPr>
          <a:bodyPr rot="-540000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uk-UA"/>
          </a:p>
        </c:txPr>
        <c:crossAx val="14766054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47660544"/>
        <c:scaling>
          <c:orientation val="minMax"/>
        </c:scaling>
        <c:delete val="0"/>
        <c:axPos val="l"/>
        <c:majorGridlines>
          <c:spPr>
            <a:ln w="3172">
              <a:solidFill>
                <a:srgbClr val="FFFFFF"/>
              </a:solidFill>
              <a:prstDash val="solid"/>
            </a:ln>
          </c:spPr>
        </c:majorGridlines>
        <c:title>
          <c:tx>
            <c:rich>
              <a:bodyPr rot="0" vert="horz"/>
              <a:lstStyle/>
              <a:p>
                <a:pPr algn="ctr">
                  <a:defRPr sz="900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r>
                  <a:rPr lang="uk-UA" sz="900"/>
                  <a:t>кг</a:t>
                </a:r>
              </a:p>
            </c:rich>
          </c:tx>
          <c:layout>
            <c:manualLayout>
              <c:xMode val="edge"/>
              <c:yMode val="edge"/>
              <c:x val="5.1293201253069173E-2"/>
              <c:y val="0.1027560726883662"/>
            </c:manualLayout>
          </c:layout>
          <c:overlay val="0"/>
          <c:spPr>
            <a:noFill/>
            <a:ln w="25372">
              <a:noFill/>
            </a:ln>
          </c:spPr>
        </c:title>
        <c:numFmt formatCode="0.0" sourceLinked="1"/>
        <c:majorTickMark val="out"/>
        <c:minorTickMark val="none"/>
        <c:tickLblPos val="nextTo"/>
        <c:spPr>
          <a:ln w="317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9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uk-UA"/>
          </a:p>
        </c:txPr>
        <c:crossAx val="148053056"/>
        <c:crosses val="autoZero"/>
        <c:crossBetween val="between"/>
      </c:valAx>
      <c:spPr>
        <a:noFill/>
        <a:ln w="3172">
          <a:solidFill>
            <a:srgbClr val="FFFFFF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6884538690269365"/>
          <c:y val="0.19997228393632971"/>
          <c:w val="0.29141518110236225"/>
          <c:h val="9.007711245396649E-2"/>
        </c:manualLayout>
      </c:layout>
      <c:overlay val="0"/>
      <c:spPr>
        <a:solidFill>
          <a:srgbClr val="FFFFFF"/>
        </a:solidFill>
        <a:ln w="3172">
          <a:solidFill>
            <a:srgbClr val="000000"/>
          </a:solidFill>
          <a:prstDash val="solid"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Times New Roman"/>
              <a:ea typeface="Times New Roman"/>
              <a:cs typeface="Times New Roman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799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uk-UA"/>
    </a:p>
  </c:tx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53518716560670299"/>
          <c:y val="2.5217790004585051E-2"/>
          <c:w val="0.44345037485906696"/>
          <c:h val="0.93750802294800983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2021</c:v>
                </c:pt>
              </c:strCache>
            </c:strRef>
          </c:tx>
          <c:spPr>
            <a:pattFill prst="solidDmnd">
              <a:fgClr>
                <a:schemeClr val="tx1"/>
              </a:fgClr>
              <a:bgClr>
                <a:srgbClr val="00B050"/>
              </a:bgClr>
            </a:patt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latin typeface="Times New Roman" pitchFamily="18" charset="0"/>
                    <a:cs typeface="Times New Roman" pitchFamily="18" charset="0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Лист1!$A$2:$A$15</c:f>
              <c:strCache>
                <c:ptCount val="14"/>
                <c:pt idx="0">
                  <c:v>Пошук інформації щодо товарів та послуг, не названих раніше</c:v>
                </c:pt>
                <c:pt idx="1">
                  <c:v>Відправлення (отримання) електронної пошти</c:v>
                </c:pt>
                <c:pt idx="2">
                  <c:v>Взаємодія з органами державної влади</c:v>
                </c:pt>
                <c:pt idx="3">
                  <c:v>Читання/скачування газет, журналів в режимі он-лайн</c:v>
                </c:pt>
                <c:pt idx="4">
                  <c:v>Скачування фільмів, зображень, музики; перегляд телебачення чи відео; або прослуховування радіо чи музики; гра у відео- чи комп’ютерні ігри або їх скачування </c:v>
                </c:pt>
                <c:pt idx="5">
                  <c:v>Скачування програмного забезпечення </c:v>
                </c:pt>
                <c:pt idx="6">
                  <c:v>Проведення навчальних заходів в освітніх, професійних або приватних цілях шляхом онлайн-курсу</c:v>
                </c:pt>
                <c:pt idx="7">
                  <c:v>Проведення навчальних заходів в освітніх, професійних або приватних цілях шляхом онлайн-курсу, крім повних онлайн-курсів</c:v>
                </c:pt>
                <c:pt idx="8">
                  <c:v>Проведення навчальних заходів в освітніх, професійних або приватних цілях шляхом спілкування через Інтернет з викладачами або студентами з використанням освітніх сайтів або порталів</c:v>
                </c:pt>
                <c:pt idx="9">
                  <c:v>Телефонні переговори через Інтернет/Volp (Skype, iTalk, через web-камеру) </c:v>
                </c:pt>
                <c:pt idx="10">
                  <c:v>Участь у соціальних мережах, спілкування (доступ до сайтів, чатів, блогів або обговорення онлайн)</c:v>
                </c:pt>
                <c:pt idx="11">
                  <c:v>Банківське обслуговування</c:v>
                </c:pt>
                <c:pt idx="12">
                  <c:v>Пошук інформації, пов’язаної з питаннями здоров’я як для себе, так і для інших</c:v>
                </c:pt>
                <c:pt idx="13">
                  <c:v>Замовлення (купівля) товарів та послуг</c:v>
                </c:pt>
              </c:strCache>
            </c:strRef>
          </c:cat>
          <c:val>
            <c:numRef>
              <c:f>Лист1!$B$2:$B$15</c:f>
              <c:numCache>
                <c:formatCode>0.0</c:formatCode>
                <c:ptCount val="14"/>
                <c:pt idx="0">
                  <c:v>4.5999999999999996</c:v>
                </c:pt>
                <c:pt idx="1">
                  <c:v>35.1</c:v>
                </c:pt>
                <c:pt idx="2">
                  <c:v>4.3</c:v>
                </c:pt>
                <c:pt idx="3">
                  <c:v>21.4</c:v>
                </c:pt>
                <c:pt idx="4">
                  <c:v>72.8</c:v>
                </c:pt>
                <c:pt idx="5">
                  <c:v>3.4</c:v>
                </c:pt>
                <c:pt idx="6">
                  <c:v>2.2999999999999998</c:v>
                </c:pt>
                <c:pt idx="7">
                  <c:v>12.3</c:v>
                </c:pt>
                <c:pt idx="8">
                  <c:v>4.7</c:v>
                </c:pt>
                <c:pt idx="9">
                  <c:v>37.299999999999997</c:v>
                </c:pt>
                <c:pt idx="10">
                  <c:v>61.1</c:v>
                </c:pt>
                <c:pt idx="11">
                  <c:v>42.2</c:v>
                </c:pt>
                <c:pt idx="12">
                  <c:v>26.7</c:v>
                </c:pt>
                <c:pt idx="13">
                  <c:v>20.6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C074-4E7B-ABD3-256C793942CF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2020</c:v>
                </c:pt>
              </c:strCache>
            </c:strRef>
          </c:tx>
          <c:spPr>
            <a:pattFill prst="weave">
              <a:fgClr>
                <a:schemeClr val="tx1"/>
              </a:fgClr>
              <a:bgClr>
                <a:srgbClr val="FFC000"/>
              </a:bgClr>
            </a:patt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latin typeface="Times New Roman" pitchFamily="18" charset="0"/>
                    <a:cs typeface="Times New Roman" pitchFamily="18" charset="0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Лист1!$A$2:$A$15</c:f>
              <c:strCache>
                <c:ptCount val="14"/>
                <c:pt idx="0">
                  <c:v>Пошук інформації щодо товарів та послуг, не названих раніше</c:v>
                </c:pt>
                <c:pt idx="1">
                  <c:v>Відправлення (отримання) електронної пошти</c:v>
                </c:pt>
                <c:pt idx="2">
                  <c:v>Взаємодія з органами державної влади</c:v>
                </c:pt>
                <c:pt idx="3">
                  <c:v>Читання/скачування газет, журналів в режимі он-лайн</c:v>
                </c:pt>
                <c:pt idx="4">
                  <c:v>Скачування фільмів, зображень, музики; перегляд телебачення чи відео; або прослуховування радіо чи музики; гра у відео- чи комп’ютерні ігри або їх скачування </c:v>
                </c:pt>
                <c:pt idx="5">
                  <c:v>Скачування програмного забезпечення </c:v>
                </c:pt>
                <c:pt idx="6">
                  <c:v>Проведення навчальних заходів в освітніх, професійних або приватних цілях шляхом онлайн-курсу</c:v>
                </c:pt>
                <c:pt idx="7">
                  <c:v>Проведення навчальних заходів в освітніх, професійних або приватних цілях шляхом онлайн-курсу, крім повних онлайн-курсів</c:v>
                </c:pt>
                <c:pt idx="8">
                  <c:v>Проведення навчальних заходів в освітніх, професійних або приватних цілях шляхом спілкування через Інтернет з викладачами або студентами з використанням освітніх сайтів або порталів</c:v>
                </c:pt>
                <c:pt idx="9">
                  <c:v>Телефонні переговори через Інтернет/Volp (Skype, iTalk, через web-камеру) </c:v>
                </c:pt>
                <c:pt idx="10">
                  <c:v>Участь у соціальних мережах, спілкування (доступ до сайтів, чатів, блогів або обговорення онлайн)</c:v>
                </c:pt>
                <c:pt idx="11">
                  <c:v>Банківське обслуговування</c:v>
                </c:pt>
                <c:pt idx="12">
                  <c:v>Пошук інформації, пов’язаної з питаннями здоров’я як для себе, так і для інших</c:v>
                </c:pt>
                <c:pt idx="13">
                  <c:v>Замовлення (купівля) товарів та послуг</c:v>
                </c:pt>
              </c:strCache>
            </c:strRef>
          </c:cat>
          <c:val>
            <c:numRef>
              <c:f>Лист1!$C$2:$C$15</c:f>
              <c:numCache>
                <c:formatCode>0.0</c:formatCode>
                <c:ptCount val="14"/>
                <c:pt idx="0">
                  <c:v>4.5</c:v>
                </c:pt>
                <c:pt idx="1">
                  <c:v>33.1</c:v>
                </c:pt>
                <c:pt idx="2">
                  <c:v>3.3</c:v>
                </c:pt>
                <c:pt idx="3">
                  <c:v>19.8</c:v>
                </c:pt>
                <c:pt idx="4">
                  <c:v>71.5</c:v>
                </c:pt>
                <c:pt idx="5">
                  <c:v>4.0999999999999996</c:v>
                </c:pt>
                <c:pt idx="6">
                  <c:v>2.8</c:v>
                </c:pt>
                <c:pt idx="7">
                  <c:v>14.2</c:v>
                </c:pt>
                <c:pt idx="8">
                  <c:v>5</c:v>
                </c:pt>
                <c:pt idx="9">
                  <c:v>34.4</c:v>
                </c:pt>
                <c:pt idx="10">
                  <c:v>59.3</c:v>
                </c:pt>
                <c:pt idx="11">
                  <c:v>36.200000000000003</c:v>
                </c:pt>
                <c:pt idx="12">
                  <c:v>27.8</c:v>
                </c:pt>
                <c:pt idx="13">
                  <c:v>20.7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C074-4E7B-ABD3-256C793942C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47663344"/>
        <c:axId val="147663904"/>
      </c:barChart>
      <c:catAx>
        <c:axId val="147663344"/>
        <c:scaling>
          <c:orientation val="minMax"/>
        </c:scaling>
        <c:delete val="0"/>
        <c:axPos val="l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uk-UA"/>
          </a:p>
        </c:txPr>
        <c:crossAx val="147663904"/>
        <c:crosses val="autoZero"/>
        <c:auto val="1"/>
        <c:lblAlgn val="ctr"/>
        <c:lblOffset val="100"/>
        <c:noMultiLvlLbl val="0"/>
      </c:catAx>
      <c:valAx>
        <c:axId val="147663904"/>
        <c:scaling>
          <c:orientation val="minMax"/>
        </c:scaling>
        <c:delete val="0"/>
        <c:axPos val="b"/>
        <c:majorGridlines>
          <c:spPr>
            <a:ln>
              <a:noFill/>
            </a:ln>
          </c:spPr>
        </c:majorGridlines>
        <c:numFmt formatCode="General" sourceLinked="0"/>
        <c:majorTickMark val="out"/>
        <c:minorTickMark val="none"/>
        <c:tickLblPos val="nextTo"/>
        <c:crossAx val="147663344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86635033217345669"/>
          <c:y val="2.4351274653648256E-2"/>
          <c:w val="0.10879759348263285"/>
          <c:h val="5.8195711236510295E-2"/>
        </c:manualLayout>
      </c:layout>
      <c:overlay val="1"/>
      <c:spPr>
        <a:ln>
          <a:solidFill>
            <a:schemeClr val="tx1"/>
          </a:solidFill>
        </a:ln>
      </c:spPr>
      <c:txPr>
        <a:bodyPr/>
        <a:lstStyle/>
        <a:p>
          <a:pPr>
            <a:defRPr>
              <a:latin typeface="Times New Roman" pitchFamily="18" charset="0"/>
              <a:cs typeface="Times New Roman" pitchFamily="18" charset="0"/>
            </a:defRPr>
          </a:pPr>
          <a:endParaRPr lang="uk-UA"/>
        </a:p>
      </c:txPr>
    </c:legend>
    <c:plotVisOnly val="1"/>
    <c:dispBlanksAs val="gap"/>
    <c:showDLblsOverMax val="0"/>
  </c:chart>
  <c:spPr>
    <a:ln>
      <a:noFill/>
    </a:ln>
  </c:spPr>
  <c:txPr>
    <a:bodyPr/>
    <a:lstStyle/>
    <a:p>
      <a:pPr>
        <a:defRPr/>
      </a:pPr>
      <a:endParaRPr lang="uk-UA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7203A5-FC1D-4F74-A114-DAFDC3A96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1400</TotalTime>
  <Pages>13</Pages>
  <Words>17885</Words>
  <Characters>10196</Characters>
  <Application>Microsoft Office Word</Application>
  <DocSecurity>0</DocSecurity>
  <Lines>84</Lines>
  <Paragraphs>56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Новиченко М.В.</dc:creator>
  <cp:keywords/>
  <dc:description/>
  <cp:lastModifiedBy>Сушкова Н.О.</cp:lastModifiedBy>
  <cp:revision>18</cp:revision>
  <cp:lastPrinted>2020-09-14T13:53:00Z</cp:lastPrinted>
  <dcterms:created xsi:type="dcterms:W3CDTF">2022-08-17T12:33:00Z</dcterms:created>
  <dcterms:modified xsi:type="dcterms:W3CDTF">2022-09-01T08:43:00Z</dcterms:modified>
</cp:coreProperties>
</file>