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5A1" w:rsidRPr="001F4390" w:rsidRDefault="00B735A1" w:rsidP="00B735A1">
      <w:pPr>
        <w:pStyle w:val="3"/>
        <w:ind w:firstLine="0"/>
        <w:rPr>
          <w:i w:val="0"/>
          <w:sz w:val="28"/>
        </w:rPr>
      </w:pPr>
      <w:r w:rsidRPr="001F4390">
        <w:rPr>
          <w:i w:val="0"/>
          <w:sz w:val="28"/>
        </w:rPr>
        <w:t>Соціально-економічне становище</w:t>
      </w:r>
    </w:p>
    <w:p w:rsidR="00B735A1" w:rsidRPr="001F4390" w:rsidRDefault="00B735A1" w:rsidP="00B735A1">
      <w:pPr>
        <w:pStyle w:val="3"/>
        <w:ind w:firstLine="0"/>
        <w:rPr>
          <w:i w:val="0"/>
          <w:sz w:val="28"/>
        </w:rPr>
      </w:pPr>
      <w:r w:rsidRPr="001F4390">
        <w:rPr>
          <w:i w:val="0"/>
          <w:sz w:val="28"/>
        </w:rPr>
        <w:t>домогосподарств України у 20</w:t>
      </w:r>
      <w:r w:rsidR="00747094" w:rsidRPr="001F4390">
        <w:rPr>
          <w:i w:val="0"/>
          <w:sz w:val="28"/>
        </w:rPr>
        <w:t xml:space="preserve">20 </w:t>
      </w:r>
      <w:r w:rsidRPr="001F4390">
        <w:rPr>
          <w:i w:val="0"/>
          <w:sz w:val="28"/>
        </w:rPr>
        <w:t>році</w:t>
      </w:r>
    </w:p>
    <w:p w:rsidR="00B735A1" w:rsidRPr="001F4390" w:rsidRDefault="00B735A1" w:rsidP="00B735A1">
      <w:pPr>
        <w:pStyle w:val="3"/>
        <w:ind w:firstLine="0"/>
        <w:rPr>
          <w:b w:val="0"/>
          <w:i w:val="0"/>
          <w:sz w:val="8"/>
          <w:szCs w:val="8"/>
        </w:rPr>
      </w:pPr>
    </w:p>
    <w:p w:rsidR="00B735A1" w:rsidRPr="001F4390" w:rsidRDefault="00B735A1" w:rsidP="00B735A1">
      <w:pPr>
        <w:jc w:val="center"/>
        <w:rPr>
          <w:b/>
          <w:sz w:val="24"/>
          <w:szCs w:val="24"/>
        </w:rPr>
      </w:pPr>
      <w:r w:rsidRPr="001F4390">
        <w:rPr>
          <w:b/>
          <w:sz w:val="24"/>
          <w:szCs w:val="24"/>
        </w:rPr>
        <w:t>(за даними вибіркового обстеження умов життя домогосподарств)</w:t>
      </w:r>
    </w:p>
    <w:p w:rsidR="0088040C" w:rsidRPr="001F4390" w:rsidRDefault="0088040C" w:rsidP="00B735A1">
      <w:pPr>
        <w:pStyle w:val="a4"/>
        <w:ind w:firstLine="567"/>
        <w:jc w:val="both"/>
        <w:rPr>
          <w:sz w:val="28"/>
        </w:rPr>
      </w:pPr>
    </w:p>
    <w:p w:rsidR="00B735A1" w:rsidRPr="001F4390" w:rsidRDefault="00B735A1" w:rsidP="00B735A1">
      <w:pPr>
        <w:pStyle w:val="a4"/>
        <w:ind w:firstLine="567"/>
        <w:jc w:val="both"/>
        <w:rPr>
          <w:sz w:val="28"/>
        </w:rPr>
      </w:pPr>
      <w:r w:rsidRPr="001F4390">
        <w:rPr>
          <w:sz w:val="28"/>
        </w:rPr>
        <w:t>З метою дослідження рівня життя різних соціальних груп населення Держстат у 20</w:t>
      </w:r>
      <w:r w:rsidR="006C77AD" w:rsidRPr="001F4390">
        <w:rPr>
          <w:sz w:val="28"/>
        </w:rPr>
        <w:t>20</w:t>
      </w:r>
      <w:r w:rsidRPr="001F4390">
        <w:rPr>
          <w:sz w:val="28"/>
        </w:rPr>
        <w:t xml:space="preserve">р. провів обстеження </w:t>
      </w:r>
      <w:r w:rsidR="006C77AD" w:rsidRPr="001F4390">
        <w:rPr>
          <w:sz w:val="28"/>
        </w:rPr>
        <w:t>7,8</w:t>
      </w:r>
      <w:r w:rsidRPr="001F4390">
        <w:rPr>
          <w:sz w:val="28"/>
        </w:rPr>
        <w:t xml:space="preserve"> тис. домогосподарств</w:t>
      </w:r>
      <w:r w:rsidRPr="001F4390">
        <w:rPr>
          <w:rStyle w:val="a8"/>
          <w:sz w:val="22"/>
          <w:szCs w:val="22"/>
        </w:rPr>
        <w:footnoteReference w:id="1"/>
      </w:r>
      <w:r w:rsidRPr="001F4390">
        <w:rPr>
          <w:sz w:val="28"/>
        </w:rPr>
        <w:t>.</w:t>
      </w:r>
    </w:p>
    <w:p w:rsidR="006D6415" w:rsidRPr="001F4390" w:rsidRDefault="006D6415" w:rsidP="006D6415">
      <w:pPr>
        <w:pStyle w:val="a4"/>
        <w:ind w:firstLine="567"/>
        <w:jc w:val="both"/>
        <w:rPr>
          <w:sz w:val="28"/>
          <w:lang w:val="ru-RU"/>
        </w:rPr>
      </w:pPr>
      <w:r w:rsidRPr="001F4390">
        <w:rPr>
          <w:b/>
          <w:sz w:val="28"/>
        </w:rPr>
        <w:t xml:space="preserve">Середньомісячні загальні доходи </w:t>
      </w:r>
      <w:r w:rsidRPr="001F4390">
        <w:rPr>
          <w:sz w:val="28"/>
        </w:rPr>
        <w:t>одного домогосподарства у 20</w:t>
      </w:r>
      <w:r w:rsidRPr="001F4390">
        <w:rPr>
          <w:sz w:val="28"/>
          <w:lang w:val="ru-RU"/>
        </w:rPr>
        <w:t>20</w:t>
      </w:r>
      <w:r w:rsidRPr="001F4390">
        <w:rPr>
          <w:sz w:val="28"/>
        </w:rPr>
        <w:t xml:space="preserve">р. становили </w:t>
      </w:r>
      <w:r w:rsidRPr="001F4390">
        <w:rPr>
          <w:sz w:val="28"/>
          <w:lang w:val="ru-RU"/>
        </w:rPr>
        <w:t>12248</w:t>
      </w:r>
      <w:r w:rsidRPr="001F4390">
        <w:rPr>
          <w:sz w:val="28"/>
        </w:rPr>
        <w:t xml:space="preserve"> грн. Міське домогосподарство отримувало в середньому за місяць </w:t>
      </w:r>
      <w:r w:rsidRPr="001F4390">
        <w:rPr>
          <w:sz w:val="28"/>
          <w:lang w:val="ru-RU"/>
        </w:rPr>
        <w:t>12620</w:t>
      </w:r>
      <w:r w:rsidRPr="001F4390">
        <w:rPr>
          <w:sz w:val="28"/>
        </w:rPr>
        <w:t xml:space="preserve"> грн, сільське – </w:t>
      </w:r>
      <w:r w:rsidRPr="001F4390">
        <w:rPr>
          <w:sz w:val="28"/>
          <w:lang w:val="ru-RU"/>
        </w:rPr>
        <w:t>11470</w:t>
      </w:r>
      <w:r w:rsidRPr="001F4390">
        <w:rPr>
          <w:sz w:val="28"/>
        </w:rPr>
        <w:t xml:space="preserve"> грн. У середньому на одну особу, яка входить до складу домогосподарства (далі особа), еквівалентні</w:t>
      </w:r>
      <w:r w:rsidRPr="001F4390">
        <w:rPr>
          <w:rStyle w:val="a8"/>
          <w:sz w:val="22"/>
          <w:szCs w:val="22"/>
        </w:rPr>
        <w:footnoteReference w:id="2"/>
      </w:r>
      <w:r w:rsidRPr="001F4390">
        <w:rPr>
          <w:sz w:val="28"/>
        </w:rPr>
        <w:t xml:space="preserve"> загальні доходи (далі – доходи) становили </w:t>
      </w:r>
      <w:r w:rsidRPr="001F4390">
        <w:rPr>
          <w:sz w:val="28"/>
          <w:lang w:val="ru-RU"/>
        </w:rPr>
        <w:t xml:space="preserve">5832 </w:t>
      </w:r>
      <w:r w:rsidRPr="001F4390">
        <w:rPr>
          <w:sz w:val="28"/>
        </w:rPr>
        <w:t xml:space="preserve">грн у місяць, у міських домогосподарствах – </w:t>
      </w:r>
      <w:r w:rsidRPr="001F4390">
        <w:rPr>
          <w:sz w:val="28"/>
          <w:lang w:val="ru-RU"/>
        </w:rPr>
        <w:t>6096</w:t>
      </w:r>
      <w:r w:rsidRPr="001F4390">
        <w:rPr>
          <w:sz w:val="28"/>
        </w:rPr>
        <w:t xml:space="preserve"> грн, у сільських – </w:t>
      </w:r>
      <w:r w:rsidRPr="001F4390">
        <w:rPr>
          <w:sz w:val="28"/>
          <w:lang w:val="ru-RU"/>
        </w:rPr>
        <w:t>5286</w:t>
      </w:r>
      <w:r w:rsidRPr="001F4390">
        <w:rPr>
          <w:sz w:val="28"/>
        </w:rPr>
        <w:t xml:space="preserve"> грн. Рівень середньомісячних доходів однієї особи у</w:t>
      </w:r>
      <w:r w:rsidR="00DE7F3B" w:rsidRPr="001F4390">
        <w:rPr>
          <w:sz w:val="28"/>
          <w:lang w:val="ru-RU"/>
        </w:rPr>
        <w:t xml:space="preserve"> 2</w:t>
      </w:r>
      <w:r w:rsidR="00475387" w:rsidRPr="001F4390">
        <w:rPr>
          <w:sz w:val="28"/>
          <w:lang w:val="ru-RU"/>
        </w:rPr>
        <w:t>,</w:t>
      </w:r>
      <w:r w:rsidR="00DE7F3B" w:rsidRPr="001F4390">
        <w:rPr>
          <w:sz w:val="28"/>
          <w:lang w:val="ru-RU"/>
        </w:rPr>
        <w:t>8</w:t>
      </w:r>
      <w:r w:rsidRPr="001F4390">
        <w:rPr>
          <w:sz w:val="28"/>
          <w:lang w:val="ru-RU"/>
        </w:rPr>
        <w:t xml:space="preserve"> </w:t>
      </w:r>
      <w:r w:rsidRPr="001F4390">
        <w:rPr>
          <w:sz w:val="28"/>
        </w:rPr>
        <w:t>раз</w:t>
      </w:r>
      <w:r w:rsidR="00326CFF" w:rsidRPr="001F4390">
        <w:rPr>
          <w:sz w:val="28"/>
          <w:lang w:val="ru-RU"/>
        </w:rPr>
        <w:t>а</w:t>
      </w:r>
      <w:r w:rsidRPr="001F4390">
        <w:rPr>
          <w:sz w:val="28"/>
        </w:rPr>
        <w:t xml:space="preserve"> перевищував рівень законодавчо встановленого на цей період прожиткового мінімуму (</w:t>
      </w:r>
      <w:r w:rsidRPr="001F4390">
        <w:rPr>
          <w:sz w:val="28"/>
          <w:lang w:val="ru-RU"/>
        </w:rPr>
        <w:t>2078</w:t>
      </w:r>
      <w:r w:rsidRPr="001F4390">
        <w:rPr>
          <w:sz w:val="28"/>
        </w:rPr>
        <w:t xml:space="preserve"> грн). Середньодушові доходи домогосподарств у 20</w:t>
      </w:r>
      <w:r w:rsidRPr="001F4390">
        <w:rPr>
          <w:sz w:val="28"/>
          <w:lang w:val="ru-RU"/>
        </w:rPr>
        <w:t>20</w:t>
      </w:r>
      <w:r w:rsidRPr="001F4390">
        <w:rPr>
          <w:sz w:val="28"/>
        </w:rPr>
        <w:t>р. порівняно з попереднім роком зростали</w:t>
      </w:r>
      <w:r w:rsidR="008648C9" w:rsidRPr="001F4390">
        <w:rPr>
          <w:sz w:val="28"/>
        </w:rPr>
        <w:t xml:space="preserve"> </w:t>
      </w:r>
      <w:r w:rsidRPr="001F4390">
        <w:rPr>
          <w:sz w:val="28"/>
        </w:rPr>
        <w:t>більшими темпами, ніж індекс споживчих цін за цей період: відповідно</w:t>
      </w:r>
      <w:r w:rsidR="008648C9" w:rsidRPr="001F4390">
        <w:rPr>
          <w:sz w:val="28"/>
        </w:rPr>
        <w:t xml:space="preserve"> </w:t>
      </w:r>
      <w:r w:rsidR="00DB1962" w:rsidRPr="001F4390">
        <w:rPr>
          <w:sz w:val="28"/>
        </w:rPr>
        <w:t>10</w:t>
      </w:r>
      <w:r w:rsidR="00475387" w:rsidRPr="001F4390">
        <w:rPr>
          <w:sz w:val="28"/>
          <w:lang w:val="ru-RU"/>
        </w:rPr>
        <w:t>3,8</w:t>
      </w:r>
      <w:r w:rsidR="008648C9" w:rsidRPr="001F4390">
        <w:rPr>
          <w:sz w:val="28"/>
        </w:rPr>
        <w:t>%</w:t>
      </w:r>
      <w:r w:rsidRPr="001F4390">
        <w:rPr>
          <w:sz w:val="28"/>
        </w:rPr>
        <w:t xml:space="preserve"> проти </w:t>
      </w:r>
      <w:r w:rsidRPr="001F4390">
        <w:rPr>
          <w:sz w:val="28"/>
          <w:lang w:val="ru-RU"/>
        </w:rPr>
        <w:t>102,7</w:t>
      </w:r>
      <w:r w:rsidRPr="001F4390">
        <w:rPr>
          <w:sz w:val="28"/>
        </w:rPr>
        <w:t>%.</w:t>
      </w:r>
      <w:r w:rsidRPr="001F4390">
        <w:rPr>
          <w:sz w:val="28"/>
          <w:lang w:val="ru-RU"/>
        </w:rPr>
        <w:t xml:space="preserve"> </w:t>
      </w:r>
    </w:p>
    <w:p w:rsidR="00157A93" w:rsidRPr="001F4390" w:rsidRDefault="006D6415" w:rsidP="006D6415">
      <w:pPr>
        <w:pStyle w:val="a4"/>
        <w:ind w:firstLine="567"/>
        <w:jc w:val="both"/>
        <w:rPr>
          <w:sz w:val="28"/>
        </w:rPr>
      </w:pPr>
      <w:r w:rsidRPr="001F4390">
        <w:rPr>
          <w:b/>
          <w:sz w:val="28"/>
        </w:rPr>
        <w:t>Нерівність розподілу</w:t>
      </w:r>
      <w:r w:rsidRPr="001F4390">
        <w:rPr>
          <w:sz w:val="28"/>
        </w:rPr>
        <w:t xml:space="preserve"> загальних доходів характеризують крива Лоренца (додаток </w:t>
      </w:r>
      <w:r w:rsidR="002A6897" w:rsidRPr="001F4390">
        <w:rPr>
          <w:sz w:val="28"/>
          <w:lang w:val="ru-RU"/>
        </w:rPr>
        <w:t>1</w:t>
      </w:r>
      <w:r w:rsidRPr="001F4390">
        <w:rPr>
          <w:sz w:val="28"/>
        </w:rPr>
        <w:t xml:space="preserve">) та коефіцієнт концентрації (індекс Джині), який приймає значення від 0 (рівномірний розподіл доходів серед усього населення) до 1 (увесь дохід належить одній особі). Індекс Джині по загальних доходах населення знизився з 0,249 у 2019р. до 0,247 у 2020р. </w:t>
      </w:r>
    </w:p>
    <w:p w:rsidR="00047C28" w:rsidRPr="001F4390" w:rsidRDefault="006D6415" w:rsidP="006D6415">
      <w:pPr>
        <w:pStyle w:val="a4"/>
        <w:ind w:firstLine="567"/>
        <w:jc w:val="both"/>
        <w:rPr>
          <w:sz w:val="28"/>
        </w:rPr>
      </w:pPr>
      <w:r w:rsidRPr="001F4390">
        <w:rPr>
          <w:sz w:val="28"/>
        </w:rPr>
        <w:t>Співвідношення мінімального рівня загальних доходів серед найбільш забезпечених 10% населення до максимального рівня серед найменш забезпечених 10% населення зменшився по Україні з 3 до 2,9 разів, серед міських жителів з 3,1 до 2,9 разів та серед мешканців сіл – з 2,8 до 2,7 разів.</w:t>
      </w:r>
    </w:p>
    <w:p w:rsidR="006D6415" w:rsidRPr="001F4390" w:rsidRDefault="006D6415" w:rsidP="006D6415">
      <w:pPr>
        <w:pStyle w:val="a4"/>
        <w:ind w:firstLine="567"/>
        <w:jc w:val="both"/>
        <w:rPr>
          <w:sz w:val="28"/>
        </w:rPr>
      </w:pPr>
      <w:r w:rsidRPr="001F4390">
        <w:rPr>
          <w:sz w:val="28"/>
        </w:rPr>
        <w:t xml:space="preserve"> Найбільш заможні 20% населення у 2020р. отримували 36% усіх загальних доходів, як і у попередньому періоді</w:t>
      </w:r>
      <w:r w:rsidR="00AC17BD" w:rsidRPr="001F4390">
        <w:rPr>
          <w:sz w:val="28"/>
        </w:rPr>
        <w:t>.</w:t>
      </w:r>
      <w:r w:rsidRPr="001F4390">
        <w:rPr>
          <w:sz w:val="28"/>
        </w:rPr>
        <w:t xml:space="preserve"> </w:t>
      </w:r>
    </w:p>
    <w:p w:rsidR="006D6415" w:rsidRPr="001F4390" w:rsidRDefault="006D6415" w:rsidP="006D6415">
      <w:pPr>
        <w:pStyle w:val="a4"/>
        <w:ind w:firstLine="567"/>
        <w:jc w:val="both"/>
        <w:rPr>
          <w:sz w:val="28"/>
        </w:rPr>
      </w:pPr>
      <w:r w:rsidRPr="001F4390">
        <w:rPr>
          <w:sz w:val="28"/>
        </w:rPr>
        <w:t xml:space="preserve">Співвідношення загальних доходів найбільш та найменш забезпечених 10% населення залишилося на рівні 2019р. та становило 4,9 раза (додаток </w:t>
      </w:r>
      <w:r w:rsidR="00475387" w:rsidRPr="001F4390">
        <w:rPr>
          <w:sz w:val="28"/>
          <w:lang w:val="ru-RU"/>
        </w:rPr>
        <w:t>2</w:t>
      </w:r>
      <w:r w:rsidRPr="001F4390">
        <w:rPr>
          <w:sz w:val="28"/>
        </w:rPr>
        <w:t xml:space="preserve">). </w:t>
      </w:r>
    </w:p>
    <w:p w:rsidR="006D6415" w:rsidRPr="001F4390" w:rsidRDefault="006D6415" w:rsidP="006D6415">
      <w:pPr>
        <w:pStyle w:val="a4"/>
        <w:ind w:firstLine="567"/>
        <w:jc w:val="both"/>
        <w:rPr>
          <w:b/>
          <w:sz w:val="28"/>
        </w:rPr>
      </w:pPr>
      <w:r w:rsidRPr="001F4390">
        <w:rPr>
          <w:sz w:val="28"/>
        </w:rPr>
        <w:t xml:space="preserve">Частка загальних доходів 40% найменш забезпечених становила, як і у </w:t>
      </w:r>
      <w:r w:rsidRPr="001F4390">
        <w:rPr>
          <w:sz w:val="28"/>
        </w:rPr>
        <w:br/>
        <w:t xml:space="preserve">2019р., чверть усіх загальних доходів населення. Співвідношення темпів зростання середньодушових еквівалентних загальних доходів 40% найменш забезпечених та всього населення становило у 2020р. 1,02 раза (у 2019р. – </w:t>
      </w:r>
      <w:r w:rsidRPr="001F4390">
        <w:rPr>
          <w:sz w:val="28"/>
        </w:rPr>
        <w:br/>
        <w:t>0,97 раза). Частка населення із середньодушовими еквівалентними загальними доходами у місяць нижчими 50% медіанного рівня загальних доходів (2555 грн) у 2020р. становила 4% (у 2019р. – 4,2% та 2478 грн відповідно).</w:t>
      </w:r>
    </w:p>
    <w:p w:rsidR="006D6415" w:rsidRPr="001F4390" w:rsidRDefault="006D6415" w:rsidP="006D6415">
      <w:pPr>
        <w:pStyle w:val="a4"/>
        <w:ind w:firstLine="567"/>
        <w:jc w:val="both"/>
        <w:rPr>
          <w:sz w:val="28"/>
        </w:rPr>
      </w:pPr>
      <w:r w:rsidRPr="001F4390">
        <w:rPr>
          <w:sz w:val="28"/>
        </w:rPr>
        <w:lastRenderedPageBreak/>
        <w:t xml:space="preserve">Порівняно з 2019р. знизилася диференціація рівня добробуту населення, розрахована з використанням критерію грошових доходів. Індекс Джині у 2020р. становив </w:t>
      </w:r>
      <w:r w:rsidR="008648C9" w:rsidRPr="001F4390">
        <w:rPr>
          <w:sz w:val="28"/>
        </w:rPr>
        <w:t>0,260</w:t>
      </w:r>
      <w:r w:rsidRPr="001F4390">
        <w:rPr>
          <w:sz w:val="28"/>
        </w:rPr>
        <w:t xml:space="preserve"> проти 0,265 у 2019р. Мінімальний рівень грошових доходів серед найбільш забезпечених 10% населення перевищував максимальний серед найменш забезпечених 10% населення у 3,1 раза </w:t>
      </w:r>
      <w:r w:rsidR="00933766" w:rsidRPr="001F4390">
        <w:rPr>
          <w:sz w:val="28"/>
        </w:rPr>
        <w:br/>
      </w:r>
      <w:r w:rsidRPr="001F4390">
        <w:rPr>
          <w:sz w:val="28"/>
        </w:rPr>
        <w:t>(у 2019р. – у 3,3 раза). Найбільш забезпечені 10% населення отримали у 5,3 раза більше грошових доходів, ніж найменш забезпечені 10% населення (у 5,5 раза).</w:t>
      </w:r>
    </w:p>
    <w:p w:rsidR="00DB00E7" w:rsidRPr="001F4390" w:rsidRDefault="00DB00E7" w:rsidP="00DB00E7">
      <w:pPr>
        <w:pStyle w:val="a4"/>
        <w:ind w:firstLine="567"/>
        <w:jc w:val="both"/>
        <w:rPr>
          <w:spacing w:val="4"/>
          <w:sz w:val="28"/>
          <w:szCs w:val="28"/>
        </w:rPr>
      </w:pPr>
      <w:r w:rsidRPr="001F4390">
        <w:rPr>
          <w:spacing w:val="4"/>
          <w:sz w:val="28"/>
          <w:szCs w:val="28"/>
        </w:rPr>
        <w:t>Свої потреби домогосподарства задовольняли за рахунок ресурсів, які надходили з різних джерел.</w:t>
      </w:r>
      <w:r w:rsidRPr="001F4390">
        <w:rPr>
          <w:i/>
          <w:spacing w:val="4"/>
          <w:sz w:val="28"/>
          <w:szCs w:val="28"/>
        </w:rPr>
        <w:t xml:space="preserve"> </w:t>
      </w:r>
      <w:r w:rsidRPr="001F4390">
        <w:rPr>
          <w:b/>
          <w:spacing w:val="4"/>
          <w:sz w:val="28"/>
          <w:szCs w:val="28"/>
        </w:rPr>
        <w:t xml:space="preserve">Середньомісячні сукупні ресурси </w:t>
      </w:r>
      <w:r w:rsidR="00933766" w:rsidRPr="001F4390">
        <w:rPr>
          <w:b/>
          <w:spacing w:val="4"/>
          <w:sz w:val="28"/>
          <w:szCs w:val="28"/>
        </w:rPr>
        <w:br/>
      </w:r>
      <w:r w:rsidRPr="001F4390">
        <w:rPr>
          <w:spacing w:val="4"/>
          <w:sz w:val="28"/>
          <w:szCs w:val="28"/>
        </w:rPr>
        <w:t xml:space="preserve">(далі – ресурси) одного домогосподарства становили 12432 грн, міського – 12806 грн, сільського – 11651 грн і зросли порівняно з 2019р. у цілому по Україні на 3%, у міській місцевості – на </w:t>
      </w:r>
      <w:r w:rsidR="003D0385" w:rsidRPr="001F4390">
        <w:rPr>
          <w:spacing w:val="4"/>
          <w:sz w:val="28"/>
          <w:szCs w:val="28"/>
        </w:rPr>
        <w:t>1</w:t>
      </w:r>
      <w:r w:rsidR="00911C5F" w:rsidRPr="001F4390">
        <w:rPr>
          <w:spacing w:val="4"/>
          <w:sz w:val="28"/>
          <w:szCs w:val="28"/>
        </w:rPr>
        <w:t>,</w:t>
      </w:r>
      <w:r w:rsidR="003D0385" w:rsidRPr="001F4390">
        <w:rPr>
          <w:spacing w:val="4"/>
          <w:sz w:val="28"/>
          <w:szCs w:val="28"/>
        </w:rPr>
        <w:t>7</w:t>
      </w:r>
      <w:r w:rsidRPr="001F4390">
        <w:rPr>
          <w:spacing w:val="4"/>
          <w:sz w:val="28"/>
          <w:szCs w:val="28"/>
        </w:rPr>
        <w:t>%, у сільській місцевості – на 5%. Ресурси однієї особи в середньому становили відповідно 5920 грн, 6186 грн та 5369 грн.</w:t>
      </w:r>
    </w:p>
    <w:p w:rsidR="00DB00E7" w:rsidRPr="001F4390" w:rsidRDefault="00DB00E7" w:rsidP="00DB00E7">
      <w:pPr>
        <w:ind w:firstLine="567"/>
        <w:jc w:val="both"/>
        <w:rPr>
          <w:sz w:val="28"/>
        </w:rPr>
      </w:pPr>
      <w:r w:rsidRPr="001F4390">
        <w:rPr>
          <w:sz w:val="28"/>
        </w:rPr>
        <w:t xml:space="preserve">Грошові доходи становили домінуючу частину (94%) структури ресурсів домогосподарств (у 2019р. – 92%). У міських домогосподарствах </w:t>
      </w:r>
      <w:r w:rsidR="00A56C30" w:rsidRPr="001F4390">
        <w:rPr>
          <w:sz w:val="28"/>
        </w:rPr>
        <w:t>їх частка</w:t>
      </w:r>
      <w:r w:rsidRPr="001F4390">
        <w:rPr>
          <w:sz w:val="28"/>
        </w:rPr>
        <w:t xml:space="preserve"> збільшилась на 1,9 в.п. і становила 96%, а в сільських – на 2 в.п. і склала 88% (додаток </w:t>
      </w:r>
      <w:r w:rsidR="00475387" w:rsidRPr="001F4390">
        <w:rPr>
          <w:sz w:val="28"/>
          <w:lang w:val="ru-RU"/>
        </w:rPr>
        <w:t>3)</w:t>
      </w:r>
      <w:r w:rsidRPr="001F4390">
        <w:rPr>
          <w:sz w:val="28"/>
        </w:rPr>
        <w:t>.</w:t>
      </w:r>
    </w:p>
    <w:p w:rsidR="00B735A1" w:rsidRPr="001F4390" w:rsidRDefault="00DB00E7" w:rsidP="00DB00E7">
      <w:pPr>
        <w:pStyle w:val="a4"/>
        <w:ind w:firstLine="567"/>
        <w:jc w:val="both"/>
        <w:rPr>
          <w:sz w:val="28"/>
        </w:rPr>
      </w:pPr>
      <w:r w:rsidRPr="001F4390">
        <w:rPr>
          <w:sz w:val="28"/>
        </w:rPr>
        <w:t>Порівняно з 2019р., частка доходів від зайнятості збільшилася на 0,3 в.п. і склала 64% ресурсів домогосподарств. При цьому частка оплати праці (58%) зросла на 1 в.п., а частка доходів від підприємницької діяльності та самозайнятості (6%) зменшилася на 0,7 в.п.</w:t>
      </w:r>
      <w:r w:rsidRPr="001F4390">
        <w:rPr>
          <w:spacing w:val="4"/>
          <w:sz w:val="28"/>
          <w:szCs w:val="28"/>
        </w:rPr>
        <w:t xml:space="preserve"> Частка п</w:t>
      </w:r>
      <w:r w:rsidRPr="001F4390">
        <w:rPr>
          <w:sz w:val="28"/>
          <w:szCs w:val="28"/>
        </w:rPr>
        <w:t xml:space="preserve">енсій, стипендій та соціальних допомог (включаючи готівкові та безготівкові пільги та субсидії) збільшилась на 0,9 в.п. і становила п’яту частину ресурсів домогосподарств, </w:t>
      </w:r>
      <w:r w:rsidR="003649DE" w:rsidRPr="001F4390">
        <w:rPr>
          <w:sz w:val="28"/>
          <w:szCs w:val="28"/>
        </w:rPr>
        <w:br/>
      </w:r>
      <w:r w:rsidRPr="001F4390">
        <w:rPr>
          <w:sz w:val="28"/>
          <w:szCs w:val="28"/>
        </w:rPr>
        <w:t xml:space="preserve">у т.ч. частка пільг та субсидій на оплату житла, комунальних продуктів та послуг (готівкові та безготівкові) становила 1% </w:t>
      </w:r>
      <w:r w:rsidRPr="001F4390">
        <w:rPr>
          <w:sz w:val="28"/>
        </w:rPr>
        <w:t xml:space="preserve">(у 2019р. – 1,4%) </w:t>
      </w:r>
      <w:r w:rsidRPr="001F4390">
        <w:rPr>
          <w:sz w:val="28"/>
          <w:szCs w:val="28"/>
        </w:rPr>
        <w:t>усіх ресурсів домогосподарств.</w:t>
      </w:r>
    </w:p>
    <w:p w:rsidR="00B735A1" w:rsidRPr="001F4390" w:rsidRDefault="00B735A1" w:rsidP="00B735A1">
      <w:pPr>
        <w:pStyle w:val="a4"/>
        <w:ind w:firstLine="567"/>
        <w:jc w:val="both"/>
        <w:rPr>
          <w:sz w:val="10"/>
          <w:szCs w:val="10"/>
        </w:rPr>
      </w:pPr>
    </w:p>
    <w:p w:rsidR="00B735A1" w:rsidRPr="001F4390" w:rsidRDefault="00DB00E7" w:rsidP="00B735A1">
      <w:pPr>
        <w:rPr>
          <w:lang w:val="en-US"/>
        </w:rPr>
      </w:pPr>
      <w:r w:rsidRPr="001F4390">
        <w:rPr>
          <w:noProof/>
          <w:lang w:eastAsia="uk-UA"/>
        </w:rPr>
        <w:drawing>
          <wp:inline distT="0" distB="0" distL="0" distR="0" wp14:anchorId="61B85C01" wp14:editId="78AE7737">
            <wp:extent cx="6076950" cy="2733675"/>
            <wp:effectExtent l="0" t="0" r="0" b="0"/>
            <wp:docPr id="3" name="Об'є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735A1" w:rsidRPr="001F4390" w:rsidRDefault="00B735A1" w:rsidP="00B735A1">
      <w:pPr>
        <w:ind w:left="142"/>
        <w:jc w:val="both"/>
        <w:rPr>
          <w:sz w:val="8"/>
          <w:szCs w:val="8"/>
        </w:rPr>
      </w:pPr>
    </w:p>
    <w:p w:rsidR="00B735A1" w:rsidRPr="001F4390" w:rsidRDefault="00B735A1" w:rsidP="00B735A1">
      <w:pPr>
        <w:ind w:left="142" w:right="282"/>
        <w:jc w:val="both"/>
      </w:pPr>
      <w:r w:rsidRPr="001F4390">
        <w:t>* Оплата праці, доходи від підприємницької діяльності та самозайнятості.</w:t>
      </w:r>
    </w:p>
    <w:p w:rsidR="00B735A1" w:rsidRPr="001F4390" w:rsidRDefault="00B735A1" w:rsidP="00B735A1">
      <w:pPr>
        <w:tabs>
          <w:tab w:val="left" w:pos="284"/>
          <w:tab w:val="left" w:pos="567"/>
        </w:tabs>
        <w:ind w:left="142" w:right="282"/>
        <w:jc w:val="both"/>
      </w:pPr>
      <w:r w:rsidRPr="001F4390">
        <w:t>**Доходи від продажу сільськогосподарської продукції та вартість спожитої продукції, отриманої з особистого підсобного господарства.</w:t>
      </w:r>
    </w:p>
    <w:p w:rsidR="00B735A1" w:rsidRPr="001F4390" w:rsidRDefault="00B735A1" w:rsidP="00B735A1">
      <w:pPr>
        <w:pStyle w:val="a4"/>
        <w:jc w:val="both"/>
        <w:rPr>
          <w:sz w:val="28"/>
          <w:szCs w:val="28"/>
        </w:rPr>
      </w:pPr>
    </w:p>
    <w:p w:rsidR="00DB00E7" w:rsidRPr="001F4390" w:rsidRDefault="00DB00E7" w:rsidP="00DB00E7">
      <w:pPr>
        <w:pStyle w:val="a4"/>
        <w:ind w:firstLine="567"/>
        <w:jc w:val="both"/>
        <w:rPr>
          <w:sz w:val="28"/>
        </w:rPr>
      </w:pPr>
      <w:r w:rsidRPr="001F4390">
        <w:rPr>
          <w:sz w:val="28"/>
        </w:rPr>
        <w:lastRenderedPageBreak/>
        <w:t>Значні розбіжності мали структури формування сукупних ресурсів міських та сільських домогосподарств.</w:t>
      </w:r>
    </w:p>
    <w:p w:rsidR="00DB00E7" w:rsidRPr="001F4390" w:rsidRDefault="00DB00E7" w:rsidP="00DB00E7">
      <w:pPr>
        <w:pStyle w:val="a4"/>
        <w:ind w:firstLine="567"/>
        <w:jc w:val="both"/>
        <w:rPr>
          <w:sz w:val="28"/>
        </w:rPr>
      </w:pPr>
      <w:r w:rsidRPr="001F4390">
        <w:rPr>
          <w:spacing w:val="-2"/>
          <w:sz w:val="28"/>
        </w:rPr>
        <w:t xml:space="preserve">Доходи від зайнятості </w:t>
      </w:r>
      <w:r w:rsidRPr="001F4390">
        <w:rPr>
          <w:sz w:val="28"/>
        </w:rPr>
        <w:t>міських домогосподарств становили</w:t>
      </w:r>
      <w:r w:rsidRPr="001F4390">
        <w:rPr>
          <w:spacing w:val="-2"/>
          <w:sz w:val="28"/>
        </w:rPr>
        <w:t xml:space="preserve"> </w:t>
      </w:r>
      <w:r w:rsidRPr="001F4390">
        <w:rPr>
          <w:sz w:val="28"/>
        </w:rPr>
        <w:t xml:space="preserve">70% у структурі ресурсів </w:t>
      </w:r>
      <w:r w:rsidRPr="001F4390">
        <w:rPr>
          <w:spacing w:val="-2"/>
          <w:sz w:val="28"/>
        </w:rPr>
        <w:t>(їх частка порівняно з 2019р. збільшилася на 0,3 в.п.), п</w:t>
      </w:r>
      <w:r w:rsidRPr="001F4390">
        <w:rPr>
          <w:sz w:val="28"/>
        </w:rPr>
        <w:t>'</w:t>
      </w:r>
      <w:r w:rsidRPr="001F4390">
        <w:rPr>
          <w:spacing w:val="-2"/>
          <w:sz w:val="28"/>
        </w:rPr>
        <w:t xml:space="preserve">яту </w:t>
      </w:r>
      <w:r w:rsidRPr="001F4390">
        <w:rPr>
          <w:spacing w:val="-2"/>
          <w:sz w:val="28"/>
        </w:rPr>
        <w:br/>
        <w:t>частину – пенсії, стипендії та соціальні допомоги, надані готівкою (збільшилися на 1,8 в.п</w:t>
      </w:r>
      <w:r w:rsidRPr="001F4390">
        <w:rPr>
          <w:sz w:val="28"/>
        </w:rPr>
        <w:t>).</w:t>
      </w:r>
    </w:p>
    <w:p w:rsidR="00DB00E7" w:rsidRPr="001F4390" w:rsidRDefault="00DB00E7" w:rsidP="00DB00E7">
      <w:pPr>
        <w:pStyle w:val="a4"/>
        <w:ind w:firstLine="567"/>
        <w:jc w:val="both"/>
        <w:rPr>
          <w:sz w:val="28"/>
        </w:rPr>
      </w:pPr>
      <w:r w:rsidRPr="001F4390">
        <w:rPr>
          <w:sz w:val="28"/>
        </w:rPr>
        <w:t xml:space="preserve">Половину ресурсів сільських домогосподарств складали доходи від зайнятості, що на 0,3 в.п. більше, ніж у 2019р. Традиційно вагомим для цієї групи домогосподарств було таке джерело ресурсів, як доходи від особистого підсобного господарства, які формували 16% </w:t>
      </w:r>
      <w:r w:rsidR="003649DE" w:rsidRPr="001F4390">
        <w:rPr>
          <w:sz w:val="28"/>
        </w:rPr>
        <w:t>у</w:t>
      </w:r>
      <w:r w:rsidRPr="001F4390">
        <w:rPr>
          <w:sz w:val="28"/>
        </w:rPr>
        <w:t>сіх їх надходжень (у 2019р. – 17%). Суттєвим джерелом ресурсів продовжували залишатися пенсії, стипендії та соціальні допомоги, надані готівкою, частка яких зросла на 1,6 в.п. і становила п'яту частину.</w:t>
      </w:r>
    </w:p>
    <w:p w:rsidR="00DB00E7" w:rsidRPr="001F4390" w:rsidRDefault="00DB00E7" w:rsidP="00DB00E7">
      <w:pPr>
        <w:pStyle w:val="a4"/>
        <w:ind w:firstLine="567"/>
        <w:jc w:val="both"/>
        <w:rPr>
          <w:sz w:val="28"/>
        </w:rPr>
      </w:pPr>
      <w:r w:rsidRPr="001F4390">
        <w:rPr>
          <w:sz w:val="28"/>
        </w:rPr>
        <w:t xml:space="preserve">У домогосподарствах з дітьми 76% ресурсів формували доходи від зайнятості (у 2019р. – 73%), </w:t>
      </w:r>
      <w:r w:rsidR="006D1FF1" w:rsidRPr="001F4390">
        <w:rPr>
          <w:sz w:val="28"/>
        </w:rPr>
        <w:t xml:space="preserve">10% </w:t>
      </w:r>
      <w:r w:rsidRPr="001F4390">
        <w:rPr>
          <w:sz w:val="28"/>
        </w:rPr>
        <w:t>– пенсії, стипендії, соціальні допомоги (готівкові та безготівкові), частка яких порівняно з 2019р. зменшилася на</w:t>
      </w:r>
      <w:r w:rsidR="006D1FF1" w:rsidRPr="001F4390">
        <w:rPr>
          <w:sz w:val="28"/>
        </w:rPr>
        <w:t xml:space="preserve"> </w:t>
      </w:r>
      <w:r w:rsidR="003649DE" w:rsidRPr="001F4390">
        <w:rPr>
          <w:sz w:val="28"/>
        </w:rPr>
        <w:br/>
      </w:r>
      <w:r w:rsidR="006D1FF1" w:rsidRPr="001F4390">
        <w:rPr>
          <w:sz w:val="28"/>
        </w:rPr>
        <w:t xml:space="preserve">1,4 </w:t>
      </w:r>
      <w:r w:rsidRPr="001F4390">
        <w:rPr>
          <w:sz w:val="28"/>
        </w:rPr>
        <w:t xml:space="preserve">в.п. Частка доходів від особистого підсобного господарства та від самозаготівель у цій групі домогосподарств зменшилася на 0,6 в.п. і складала 5% ресурсів. </w:t>
      </w:r>
    </w:p>
    <w:p w:rsidR="00DB00E7" w:rsidRPr="001F4390" w:rsidRDefault="00DB00E7" w:rsidP="00DB00E7">
      <w:pPr>
        <w:pStyle w:val="a4"/>
        <w:ind w:firstLine="567"/>
        <w:jc w:val="both"/>
        <w:rPr>
          <w:sz w:val="28"/>
        </w:rPr>
      </w:pPr>
      <w:r w:rsidRPr="001F4390">
        <w:rPr>
          <w:sz w:val="28"/>
        </w:rPr>
        <w:t>Основним джерелом надходження сукупних ресурсів у домогосподарствах з однією дитиною були доходи від зайнятості (77%), а в домогосподарствах із трьома і більше дітьми частка цих надходжень була в 1,2 раза нижчою. Доходи від особистого підсобного господарства та від самозаготівель в багатодітних домогосподарствах складали 9%, пенсії, стипендії та соціальні допомоги (готівкові та безготівкові) – п’яту частину усіх ресурсів.</w:t>
      </w:r>
    </w:p>
    <w:p w:rsidR="00DB00E7" w:rsidRPr="001F4390" w:rsidRDefault="00DB00E7" w:rsidP="00DB00E7">
      <w:pPr>
        <w:pStyle w:val="a4"/>
        <w:ind w:firstLine="567"/>
        <w:jc w:val="both"/>
        <w:rPr>
          <w:sz w:val="28"/>
        </w:rPr>
      </w:pPr>
      <w:r w:rsidRPr="001F4390">
        <w:rPr>
          <w:sz w:val="28"/>
        </w:rPr>
        <w:t>У домогосподарствах без дітей частка доходів від зайнятості становила 53% ресурсів (порівняно з 2019р. зменшилася на 3 в.п.), пенсії, стипендії та соціальні допомоги (готівкові та безготівкові) – 31% (збільшилася на 4 в.п.), доходи від особистого підсобного господарства та від самозаготівель – 6% (зменшилася на 0,4 в.п.).</w:t>
      </w:r>
    </w:p>
    <w:p w:rsidR="00DB00E7" w:rsidRPr="001F4390" w:rsidRDefault="00DB00E7" w:rsidP="00DB00E7">
      <w:pPr>
        <w:pStyle w:val="a4"/>
        <w:ind w:firstLine="567"/>
        <w:jc w:val="both"/>
        <w:rPr>
          <w:sz w:val="28"/>
        </w:rPr>
      </w:pPr>
      <w:bookmarkStart w:id="0" w:name="_Hlk81910691"/>
      <w:r w:rsidRPr="001F4390">
        <w:rPr>
          <w:sz w:val="28"/>
        </w:rPr>
        <w:t>У домогосподарствах, у складі яких були молоді сім’ї, 79% ресурсів формували доходи від зайнятості (у 2019р. – 76%). Пенсії, стипендії, соціальні допомоги (готівкові та безготівкові) у цій групі склали 8% (у 2019р. – 9%), доходи від особистого підсобного господарства</w:t>
      </w:r>
      <w:r w:rsidR="000803F2" w:rsidRPr="001F4390">
        <w:rPr>
          <w:sz w:val="28"/>
        </w:rPr>
        <w:t xml:space="preserve"> </w:t>
      </w:r>
      <w:r w:rsidR="008A04A0" w:rsidRPr="001F4390">
        <w:rPr>
          <w:sz w:val="28"/>
        </w:rPr>
        <w:t xml:space="preserve">залишилися на рівні попереднього періоду </w:t>
      </w:r>
      <w:r w:rsidRPr="001F4390">
        <w:rPr>
          <w:sz w:val="28"/>
        </w:rPr>
        <w:t>і</w:t>
      </w:r>
      <w:r w:rsidR="000803F2" w:rsidRPr="001F4390">
        <w:rPr>
          <w:sz w:val="28"/>
        </w:rPr>
        <w:t xml:space="preserve"> с</w:t>
      </w:r>
      <w:r w:rsidRPr="001F4390">
        <w:rPr>
          <w:sz w:val="28"/>
        </w:rPr>
        <w:t>тановили 4%.</w:t>
      </w:r>
    </w:p>
    <w:p w:rsidR="00173E77" w:rsidRPr="001F4390" w:rsidRDefault="00173E77" w:rsidP="00475387">
      <w:pPr>
        <w:pStyle w:val="a4"/>
        <w:tabs>
          <w:tab w:val="left" w:pos="5529"/>
          <w:tab w:val="left" w:pos="6096"/>
          <w:tab w:val="left" w:pos="6237"/>
          <w:tab w:val="left" w:pos="6804"/>
        </w:tabs>
        <w:ind w:firstLine="567"/>
        <w:jc w:val="both"/>
        <w:rPr>
          <w:sz w:val="28"/>
          <w:szCs w:val="28"/>
          <w:lang w:val="ru-RU"/>
        </w:rPr>
      </w:pPr>
      <w:r w:rsidRPr="001F4390">
        <w:rPr>
          <w:b/>
          <w:sz w:val="28"/>
          <w:szCs w:val="28"/>
        </w:rPr>
        <w:t>Середньомісячні сукупні витрати</w:t>
      </w:r>
      <w:r w:rsidRPr="001F4390">
        <w:rPr>
          <w:sz w:val="28"/>
          <w:szCs w:val="28"/>
        </w:rPr>
        <w:t xml:space="preserve"> (далі – витрати) одного домогосподарства становили 9</w:t>
      </w:r>
      <w:r w:rsidRPr="001F4390">
        <w:rPr>
          <w:sz w:val="28"/>
          <w:szCs w:val="28"/>
          <w:lang w:val="ru-RU"/>
        </w:rPr>
        <w:t>524</w:t>
      </w:r>
      <w:r w:rsidRPr="001F4390">
        <w:rPr>
          <w:sz w:val="28"/>
          <w:szCs w:val="28"/>
        </w:rPr>
        <w:t xml:space="preserve"> грн, міського – </w:t>
      </w:r>
      <w:r w:rsidRPr="001F4390">
        <w:rPr>
          <w:sz w:val="28"/>
          <w:szCs w:val="28"/>
          <w:lang w:val="ru-RU"/>
        </w:rPr>
        <w:t>9820</w:t>
      </w:r>
      <w:r w:rsidRPr="001F4390">
        <w:rPr>
          <w:sz w:val="28"/>
          <w:szCs w:val="28"/>
        </w:rPr>
        <w:t xml:space="preserve"> грн, сільського – </w:t>
      </w:r>
      <w:r w:rsidR="00E36CC1" w:rsidRPr="001F4390">
        <w:rPr>
          <w:sz w:val="28"/>
          <w:szCs w:val="28"/>
        </w:rPr>
        <w:br/>
      </w:r>
      <w:r w:rsidRPr="001F4390">
        <w:rPr>
          <w:sz w:val="28"/>
          <w:szCs w:val="28"/>
        </w:rPr>
        <w:t>8</w:t>
      </w:r>
      <w:r w:rsidRPr="001F4390">
        <w:rPr>
          <w:sz w:val="28"/>
          <w:szCs w:val="28"/>
          <w:lang w:val="ru-RU"/>
        </w:rPr>
        <w:t>903</w:t>
      </w:r>
      <w:r w:rsidRPr="001F4390">
        <w:rPr>
          <w:sz w:val="28"/>
          <w:szCs w:val="28"/>
        </w:rPr>
        <w:t xml:space="preserve"> грн. У середньому на одну особу витрати становили 4535 грн на місяць, у міських домогосподарствах – 4744 грн, у сільських – 4103 грн (додаток </w:t>
      </w:r>
      <w:r w:rsidR="00475387" w:rsidRPr="001F4390">
        <w:rPr>
          <w:sz w:val="28"/>
          <w:szCs w:val="28"/>
          <w:lang w:val="ru-RU"/>
        </w:rPr>
        <w:t>4</w:t>
      </w:r>
      <w:r w:rsidRPr="001F4390">
        <w:rPr>
          <w:sz w:val="28"/>
          <w:szCs w:val="28"/>
        </w:rPr>
        <w:t>).</w:t>
      </w:r>
    </w:p>
    <w:p w:rsidR="00173E77" w:rsidRPr="001F4390" w:rsidRDefault="00173E77" w:rsidP="00173E77">
      <w:pPr>
        <w:pStyle w:val="a4"/>
        <w:tabs>
          <w:tab w:val="left" w:pos="5529"/>
          <w:tab w:val="left" w:pos="6096"/>
          <w:tab w:val="left" w:pos="6237"/>
          <w:tab w:val="left" w:pos="6804"/>
        </w:tabs>
        <w:ind w:firstLine="567"/>
        <w:jc w:val="both"/>
        <w:rPr>
          <w:sz w:val="28"/>
          <w:szCs w:val="28"/>
        </w:rPr>
      </w:pPr>
      <w:r w:rsidRPr="001F4390">
        <w:rPr>
          <w:sz w:val="28"/>
          <w:szCs w:val="28"/>
        </w:rPr>
        <w:t>Серед усіх сукупних витрат 91% становили споживчі витрати домогосподарств, що на 0,1 в.п. менше</w:t>
      </w:r>
      <w:r w:rsidR="00BA400D" w:rsidRPr="001F4390">
        <w:rPr>
          <w:sz w:val="28"/>
          <w:szCs w:val="28"/>
        </w:rPr>
        <w:t>,</w:t>
      </w:r>
      <w:r w:rsidRPr="001F4390">
        <w:rPr>
          <w:sz w:val="28"/>
          <w:szCs w:val="28"/>
        </w:rPr>
        <w:t xml:space="preserve"> ніж у 2019р.</w:t>
      </w:r>
    </w:p>
    <w:p w:rsidR="00173E77" w:rsidRPr="001F4390" w:rsidRDefault="00173E77" w:rsidP="00173E77">
      <w:pPr>
        <w:pStyle w:val="a4"/>
        <w:tabs>
          <w:tab w:val="left" w:pos="8789"/>
        </w:tabs>
        <w:ind w:firstLine="567"/>
        <w:jc w:val="both"/>
        <w:rPr>
          <w:sz w:val="28"/>
        </w:rPr>
      </w:pPr>
      <w:r w:rsidRPr="001F4390">
        <w:rPr>
          <w:sz w:val="28"/>
        </w:rPr>
        <w:t xml:space="preserve">На </w:t>
      </w:r>
      <w:r w:rsidRPr="001F4390">
        <w:rPr>
          <w:b/>
          <w:sz w:val="28"/>
        </w:rPr>
        <w:t>харчування (включаючи харчування поза домом)</w:t>
      </w:r>
      <w:r w:rsidRPr="001F4390">
        <w:rPr>
          <w:sz w:val="28"/>
        </w:rPr>
        <w:t xml:space="preserve"> домогосподарства витрачали 49% </w:t>
      </w:r>
      <w:r w:rsidR="003649DE" w:rsidRPr="001F4390">
        <w:rPr>
          <w:sz w:val="28"/>
        </w:rPr>
        <w:t>у</w:t>
      </w:r>
      <w:r w:rsidRPr="001F4390">
        <w:rPr>
          <w:sz w:val="28"/>
        </w:rPr>
        <w:t xml:space="preserve">сіх витрат (на 0,7 в.п. більше, ніж у 2019р.). На купівлю непродовольчих товарів та послуг (без витрат на харчування поза домом) </w:t>
      </w:r>
      <w:r w:rsidRPr="001F4390">
        <w:rPr>
          <w:sz w:val="28"/>
        </w:rPr>
        <w:lastRenderedPageBreak/>
        <w:t>домогосподарства направляли 39% усіх сукупних витрат, що на 0,9</w:t>
      </w:r>
      <w:r w:rsidRPr="001F4390">
        <w:rPr>
          <w:sz w:val="28"/>
          <w:lang w:val="ru-RU"/>
        </w:rPr>
        <w:t xml:space="preserve"> </w:t>
      </w:r>
      <w:r w:rsidRPr="001F4390">
        <w:rPr>
          <w:sz w:val="28"/>
        </w:rPr>
        <w:t>в.п. менше, ніж у попередньому періоді.</w:t>
      </w:r>
    </w:p>
    <w:p w:rsidR="00BA772D" w:rsidRPr="001F4390" w:rsidRDefault="00BA772D" w:rsidP="00BA772D">
      <w:pPr>
        <w:pStyle w:val="a4"/>
        <w:ind w:firstLine="567"/>
        <w:jc w:val="both"/>
        <w:rPr>
          <w:sz w:val="28"/>
        </w:rPr>
      </w:pPr>
      <w:r w:rsidRPr="001F4390">
        <w:rPr>
          <w:sz w:val="28"/>
        </w:rPr>
        <w:t xml:space="preserve">Витрати на алкогольні напої та тютюнові вироби становили відповідно 1,2% та 2,3% витрат домогосподарств </w:t>
      </w:r>
      <w:r w:rsidRPr="001F4390">
        <w:rPr>
          <w:sz w:val="28"/>
          <w:lang w:val="ru-RU"/>
        </w:rPr>
        <w:t>(</w:t>
      </w:r>
      <w:r w:rsidRPr="001F4390">
        <w:rPr>
          <w:sz w:val="28"/>
        </w:rPr>
        <w:t xml:space="preserve">у 2019р. </w:t>
      </w:r>
      <w:r w:rsidRPr="001F4390">
        <w:rPr>
          <w:sz w:val="28"/>
          <w:szCs w:val="28"/>
        </w:rPr>
        <w:t>– 1,2% та 2%)</w:t>
      </w:r>
      <w:r w:rsidRPr="001F4390">
        <w:rPr>
          <w:sz w:val="28"/>
        </w:rPr>
        <w:t>.</w:t>
      </w:r>
    </w:p>
    <w:p w:rsidR="00BA772D" w:rsidRPr="001F4390" w:rsidRDefault="00BA772D" w:rsidP="00BA772D">
      <w:pPr>
        <w:pStyle w:val="a4"/>
        <w:ind w:firstLine="567"/>
        <w:jc w:val="both"/>
        <w:rPr>
          <w:sz w:val="28"/>
        </w:rPr>
      </w:pPr>
      <w:r w:rsidRPr="001F4390">
        <w:rPr>
          <w:sz w:val="28"/>
        </w:rPr>
        <w:t xml:space="preserve">Частка витрат, не пов'язаних із споживанням, </w:t>
      </w:r>
      <w:r w:rsidR="008B3FFD" w:rsidRPr="001F4390">
        <w:rPr>
          <w:sz w:val="28"/>
          <w:lang w:val="ru-RU"/>
        </w:rPr>
        <w:t xml:space="preserve">як і у </w:t>
      </w:r>
      <w:proofErr w:type="spellStart"/>
      <w:r w:rsidR="008B3FFD" w:rsidRPr="001F4390">
        <w:rPr>
          <w:sz w:val="28"/>
          <w:lang w:val="ru-RU"/>
        </w:rPr>
        <w:t>попередньому</w:t>
      </w:r>
      <w:proofErr w:type="spellEnd"/>
      <w:r w:rsidR="008B3FFD" w:rsidRPr="001F4390">
        <w:rPr>
          <w:sz w:val="28"/>
          <w:lang w:val="ru-RU"/>
        </w:rPr>
        <w:t xml:space="preserve"> </w:t>
      </w:r>
      <w:proofErr w:type="spellStart"/>
      <w:r w:rsidR="008B3FFD" w:rsidRPr="001F4390">
        <w:rPr>
          <w:sz w:val="28"/>
          <w:lang w:val="ru-RU"/>
        </w:rPr>
        <w:t>періоді</w:t>
      </w:r>
      <w:proofErr w:type="spellEnd"/>
      <w:r w:rsidR="00EE4DDF" w:rsidRPr="001F4390">
        <w:rPr>
          <w:sz w:val="28"/>
          <w:lang w:val="ru-RU"/>
        </w:rPr>
        <w:t>,</w:t>
      </w:r>
      <w:r w:rsidR="008B3FFD" w:rsidRPr="001F4390">
        <w:rPr>
          <w:sz w:val="28"/>
          <w:lang w:val="ru-RU"/>
        </w:rPr>
        <w:t xml:space="preserve"> </w:t>
      </w:r>
      <w:r w:rsidRPr="001F4390">
        <w:rPr>
          <w:sz w:val="28"/>
        </w:rPr>
        <w:t>склала 9% усіх витрат домогосподарств.</w:t>
      </w:r>
    </w:p>
    <w:p w:rsidR="00B735A1" w:rsidRPr="001F4390" w:rsidRDefault="00B735A1" w:rsidP="00634EFF">
      <w:pPr>
        <w:pStyle w:val="a4"/>
        <w:ind w:firstLine="567"/>
        <w:jc w:val="both"/>
        <w:rPr>
          <w:sz w:val="28"/>
        </w:rPr>
      </w:pPr>
    </w:p>
    <w:p w:rsidR="00B735A1" w:rsidRPr="001F4390" w:rsidRDefault="00BA772D" w:rsidP="00B735A1">
      <w:pPr>
        <w:pStyle w:val="a4"/>
        <w:tabs>
          <w:tab w:val="left" w:pos="7200"/>
        </w:tabs>
        <w:ind w:firstLine="284"/>
        <w:jc w:val="both"/>
      </w:pPr>
      <w:r w:rsidRPr="001F4390">
        <w:rPr>
          <w:noProof/>
          <w:lang w:eastAsia="uk-UA"/>
        </w:rPr>
        <w:drawing>
          <wp:inline distT="0" distB="0" distL="0" distR="0" wp14:anchorId="1C39A492" wp14:editId="6A6B3447">
            <wp:extent cx="5591175" cy="2676525"/>
            <wp:effectExtent l="0" t="0" r="0" b="0"/>
            <wp:docPr id="6" name="Об'є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735A1" w:rsidRPr="001F4390" w:rsidRDefault="00B735A1" w:rsidP="00B735A1">
      <w:pPr>
        <w:pStyle w:val="a4"/>
        <w:tabs>
          <w:tab w:val="left" w:pos="7200"/>
        </w:tabs>
        <w:ind w:firstLine="567"/>
        <w:jc w:val="both"/>
        <w:rPr>
          <w:sz w:val="20"/>
        </w:rPr>
      </w:pPr>
      <w:r w:rsidRPr="001F4390">
        <w:rPr>
          <w:sz w:val="20"/>
        </w:rPr>
        <w:t>*</w:t>
      </w:r>
      <w:r w:rsidR="00706622" w:rsidRPr="001F4390">
        <w:rPr>
          <w:sz w:val="20"/>
        </w:rPr>
        <w:t xml:space="preserve"> </w:t>
      </w:r>
      <w:r w:rsidRPr="001F4390">
        <w:rPr>
          <w:sz w:val="20"/>
        </w:rPr>
        <w:t>Включаючи вартість харчування поза домом</w:t>
      </w:r>
      <w:r w:rsidRPr="001F4390">
        <w:rPr>
          <w:sz w:val="20"/>
        </w:rPr>
        <w:tab/>
      </w:r>
    </w:p>
    <w:p w:rsidR="00B735A1" w:rsidRPr="001F4390" w:rsidRDefault="00B735A1" w:rsidP="00B735A1">
      <w:pPr>
        <w:pStyle w:val="a4"/>
        <w:tabs>
          <w:tab w:val="left" w:pos="5910"/>
        </w:tabs>
        <w:ind w:firstLine="567"/>
        <w:jc w:val="both"/>
        <w:rPr>
          <w:sz w:val="22"/>
          <w:szCs w:val="22"/>
        </w:rPr>
      </w:pPr>
      <w:r w:rsidRPr="001F4390">
        <w:rPr>
          <w:sz w:val="20"/>
        </w:rPr>
        <w:t>**</w:t>
      </w:r>
      <w:r w:rsidRPr="001F4390">
        <w:rPr>
          <w:sz w:val="20"/>
          <w:vertAlign w:val="superscript"/>
        </w:rPr>
        <w:t xml:space="preserve"> </w:t>
      </w:r>
      <w:r w:rsidRPr="001F4390">
        <w:rPr>
          <w:sz w:val="20"/>
        </w:rPr>
        <w:t>Без вартості харчування поза домом</w:t>
      </w:r>
      <w:r w:rsidRPr="001F4390">
        <w:rPr>
          <w:sz w:val="22"/>
          <w:szCs w:val="22"/>
        </w:rPr>
        <w:tab/>
      </w:r>
    </w:p>
    <w:p w:rsidR="00236194" w:rsidRPr="001F4390" w:rsidRDefault="00236194" w:rsidP="008C7C7F">
      <w:pPr>
        <w:pStyle w:val="a4"/>
        <w:spacing w:before="120"/>
        <w:ind w:firstLine="567"/>
        <w:jc w:val="both"/>
        <w:rPr>
          <w:sz w:val="28"/>
        </w:rPr>
      </w:pPr>
      <w:bookmarkStart w:id="1" w:name="_Hlk81910779"/>
      <w:bookmarkEnd w:id="0"/>
      <w:r w:rsidRPr="001F4390">
        <w:rPr>
          <w:sz w:val="28"/>
        </w:rPr>
        <w:t>Вартість харчування у 2020р., як і у 2019р.</w:t>
      </w:r>
      <w:r w:rsidR="003649DE" w:rsidRPr="001F4390">
        <w:rPr>
          <w:sz w:val="28"/>
        </w:rPr>
        <w:t>,</w:t>
      </w:r>
      <w:r w:rsidRPr="001F4390">
        <w:rPr>
          <w:sz w:val="28"/>
        </w:rPr>
        <w:t xml:space="preserve"> у середньому на одну особу становила 73 грн.</w:t>
      </w:r>
    </w:p>
    <w:p w:rsidR="008C7C7F" w:rsidRPr="001F4390" w:rsidRDefault="00236194" w:rsidP="008C7C7F">
      <w:pPr>
        <w:pStyle w:val="a4"/>
        <w:spacing w:line="216" w:lineRule="auto"/>
        <w:ind w:firstLine="567"/>
        <w:jc w:val="both"/>
        <w:rPr>
          <w:sz w:val="28"/>
          <w:szCs w:val="28"/>
        </w:rPr>
      </w:pPr>
      <w:r w:rsidRPr="001F4390">
        <w:rPr>
          <w:sz w:val="28"/>
        </w:rPr>
        <w:t>В</w:t>
      </w:r>
      <w:r w:rsidRPr="001F4390">
        <w:rPr>
          <w:sz w:val="28"/>
          <w:szCs w:val="28"/>
        </w:rPr>
        <w:t>ідбулися певні зміни в структурі д</w:t>
      </w:r>
      <w:bookmarkStart w:id="2" w:name="_GoBack"/>
      <w:bookmarkEnd w:id="2"/>
      <w:r w:rsidRPr="001F4390">
        <w:rPr>
          <w:sz w:val="28"/>
          <w:szCs w:val="28"/>
        </w:rPr>
        <w:t>омашнього харчування: збільшилося споживання м’яса і м’ясопродуктів на 2%. Скоротилося порівняно з 2019р. споживання цукру та фруктів, ягід, горіхів, винограду –</w:t>
      </w:r>
      <w:r w:rsidR="001305D9" w:rsidRPr="001F4390">
        <w:rPr>
          <w:sz w:val="28"/>
          <w:szCs w:val="28"/>
        </w:rPr>
        <w:t xml:space="preserve"> </w:t>
      </w:r>
      <w:r w:rsidRPr="001F4390">
        <w:rPr>
          <w:sz w:val="28"/>
          <w:szCs w:val="28"/>
        </w:rPr>
        <w:t>на 8%</w:t>
      </w:r>
      <w:r w:rsidR="003649DE" w:rsidRPr="001F4390">
        <w:rPr>
          <w:sz w:val="28"/>
          <w:szCs w:val="28"/>
        </w:rPr>
        <w:t xml:space="preserve"> </w:t>
      </w:r>
      <w:r w:rsidR="00A56C30" w:rsidRPr="001F4390">
        <w:rPr>
          <w:sz w:val="28"/>
          <w:szCs w:val="28"/>
        </w:rPr>
        <w:t>кожного</w:t>
      </w:r>
      <w:r w:rsidRPr="001F4390">
        <w:rPr>
          <w:sz w:val="28"/>
          <w:szCs w:val="28"/>
        </w:rPr>
        <w:t xml:space="preserve">, риби та рибопродуктів на 7%, </w:t>
      </w:r>
      <w:r w:rsidR="00D31863" w:rsidRPr="001F4390">
        <w:rPr>
          <w:sz w:val="28"/>
          <w:szCs w:val="28"/>
        </w:rPr>
        <w:t xml:space="preserve">яєць – на </w:t>
      </w:r>
      <w:r w:rsidR="00D31863">
        <w:rPr>
          <w:sz w:val="28"/>
          <w:szCs w:val="28"/>
          <w:lang w:val="ru-RU"/>
        </w:rPr>
        <w:t>5</w:t>
      </w:r>
      <w:r w:rsidR="00D31863" w:rsidRPr="001F4390">
        <w:rPr>
          <w:sz w:val="28"/>
          <w:szCs w:val="28"/>
        </w:rPr>
        <w:t xml:space="preserve">%, </w:t>
      </w:r>
      <w:r w:rsidRPr="001F4390">
        <w:rPr>
          <w:sz w:val="28"/>
          <w:szCs w:val="28"/>
        </w:rPr>
        <w:t xml:space="preserve">картоплі – на 3%, хліба та хлібопродуктів – на 1,2%, овочів і баштанних – на 1,1% та молока </w:t>
      </w:r>
      <w:r w:rsidR="003649DE" w:rsidRPr="001F4390">
        <w:rPr>
          <w:sz w:val="28"/>
          <w:szCs w:val="28"/>
        </w:rPr>
        <w:t>і</w:t>
      </w:r>
      <w:r w:rsidRPr="001F4390">
        <w:rPr>
          <w:sz w:val="28"/>
          <w:szCs w:val="28"/>
        </w:rPr>
        <w:t xml:space="preserve"> молочних продуктів – на 0,5%. Споживання олії та інших рослинних жирів залишилось на рівні 2019р. (додаток </w:t>
      </w:r>
      <w:r w:rsidR="00475387" w:rsidRPr="001F4390">
        <w:rPr>
          <w:sz w:val="28"/>
          <w:szCs w:val="28"/>
          <w:lang w:val="en-US"/>
        </w:rPr>
        <w:t>5</w:t>
      </w:r>
      <w:r w:rsidRPr="001F4390">
        <w:rPr>
          <w:sz w:val="28"/>
          <w:szCs w:val="28"/>
        </w:rPr>
        <w:t>).</w:t>
      </w:r>
    </w:p>
    <w:p w:rsidR="00236194" w:rsidRPr="001F4390" w:rsidRDefault="008C7C7F" w:rsidP="008C7C7F">
      <w:pPr>
        <w:pStyle w:val="a4"/>
        <w:ind w:firstLine="567"/>
        <w:jc w:val="both"/>
        <w:rPr>
          <w:sz w:val="16"/>
          <w:szCs w:val="16"/>
        </w:rPr>
      </w:pPr>
      <w:r w:rsidRPr="001F4390">
        <w:rPr>
          <w:noProof/>
          <w:sz w:val="16"/>
          <w:szCs w:val="16"/>
          <w:lang w:eastAsia="uk-UA"/>
        </w:rPr>
        <w:drawing>
          <wp:inline distT="0" distB="0" distL="0" distR="0" wp14:anchorId="32B10B17" wp14:editId="4D033D2F">
            <wp:extent cx="5601515" cy="2694940"/>
            <wp:effectExtent l="0" t="0" r="0" b="0"/>
            <wp:docPr id="5" name="Об'є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34EFF" w:rsidRPr="001F4390" w:rsidRDefault="00634EFF" w:rsidP="00634EFF">
      <w:pPr>
        <w:tabs>
          <w:tab w:val="left" w:pos="4536"/>
        </w:tabs>
        <w:rPr>
          <w:noProof/>
          <w:sz w:val="16"/>
          <w:szCs w:val="16"/>
          <w:lang w:eastAsia="uk-UA"/>
        </w:rPr>
      </w:pPr>
    </w:p>
    <w:p w:rsidR="00B735A1" w:rsidRPr="001F4390" w:rsidRDefault="00B735A1" w:rsidP="00634EFF">
      <w:pPr>
        <w:tabs>
          <w:tab w:val="left" w:pos="4536"/>
        </w:tabs>
        <w:rPr>
          <w:b/>
          <w:i/>
          <w:lang w:val="ru-RU"/>
        </w:rPr>
      </w:pPr>
      <w:r w:rsidRPr="001F4390">
        <w:t>* Включаючи цукор, використаний на виготовлення кондитерських виробів, та мед</w:t>
      </w:r>
    </w:p>
    <w:bookmarkEnd w:id="1"/>
    <w:p w:rsidR="003649DE" w:rsidRPr="001F4390" w:rsidRDefault="003649DE" w:rsidP="00236194">
      <w:pPr>
        <w:pStyle w:val="a4"/>
        <w:ind w:firstLine="567"/>
        <w:jc w:val="both"/>
        <w:rPr>
          <w:sz w:val="28"/>
          <w:szCs w:val="28"/>
        </w:rPr>
      </w:pPr>
    </w:p>
    <w:p w:rsidR="00236194" w:rsidRPr="001F4390" w:rsidRDefault="00236194" w:rsidP="00236194">
      <w:pPr>
        <w:pStyle w:val="a4"/>
        <w:ind w:firstLine="567"/>
        <w:jc w:val="both"/>
        <w:rPr>
          <w:spacing w:val="4"/>
          <w:sz w:val="28"/>
          <w:szCs w:val="28"/>
        </w:rPr>
      </w:pPr>
      <w:r w:rsidRPr="001F4390">
        <w:rPr>
          <w:sz w:val="28"/>
          <w:szCs w:val="28"/>
        </w:rPr>
        <w:t xml:space="preserve">Калорійність цих продуктів харчування, спожитих однією особою в домогосподарстві, становила </w:t>
      </w:r>
      <w:r w:rsidRPr="001F4390">
        <w:rPr>
          <w:spacing w:val="4"/>
          <w:sz w:val="28"/>
          <w:szCs w:val="28"/>
        </w:rPr>
        <w:t xml:space="preserve">2862 ккал, вміст білків у цих продуктах становив 84 г, жирів – 130 г, вуглеводів – 345 г. Порівняно з 2019р. ці показники </w:t>
      </w:r>
      <w:r w:rsidR="00087F05" w:rsidRPr="001F4390">
        <w:rPr>
          <w:spacing w:val="4"/>
          <w:sz w:val="28"/>
          <w:szCs w:val="28"/>
        </w:rPr>
        <w:t xml:space="preserve">не зазнали </w:t>
      </w:r>
      <w:r w:rsidRPr="001F4390">
        <w:rPr>
          <w:spacing w:val="4"/>
          <w:sz w:val="28"/>
          <w:szCs w:val="28"/>
        </w:rPr>
        <w:t>суттєв</w:t>
      </w:r>
      <w:r w:rsidR="00087F05" w:rsidRPr="001F4390">
        <w:rPr>
          <w:spacing w:val="4"/>
          <w:sz w:val="28"/>
          <w:szCs w:val="28"/>
        </w:rPr>
        <w:t>их</w:t>
      </w:r>
      <w:r w:rsidRPr="001F4390">
        <w:rPr>
          <w:spacing w:val="4"/>
          <w:sz w:val="28"/>
          <w:szCs w:val="28"/>
        </w:rPr>
        <w:t xml:space="preserve"> змін</w:t>
      </w:r>
      <w:r w:rsidRPr="001F4390">
        <w:rPr>
          <w:spacing w:val="4"/>
          <w:sz w:val="28"/>
          <w:szCs w:val="28"/>
          <w:lang w:val="ru-RU"/>
        </w:rPr>
        <w:t xml:space="preserve"> </w:t>
      </w:r>
      <w:r w:rsidRPr="001F4390">
        <w:rPr>
          <w:spacing w:val="4"/>
          <w:sz w:val="28"/>
          <w:szCs w:val="28"/>
        </w:rPr>
        <w:t xml:space="preserve">(додаток </w:t>
      </w:r>
      <w:r w:rsidR="00475387" w:rsidRPr="001F4390">
        <w:rPr>
          <w:spacing w:val="4"/>
          <w:sz w:val="28"/>
          <w:szCs w:val="28"/>
          <w:lang w:val="ru-RU"/>
        </w:rPr>
        <w:t>6</w:t>
      </w:r>
      <w:r w:rsidRPr="001F4390">
        <w:rPr>
          <w:spacing w:val="4"/>
          <w:sz w:val="28"/>
          <w:szCs w:val="28"/>
        </w:rPr>
        <w:t>).</w:t>
      </w:r>
    </w:p>
    <w:p w:rsidR="004E1DEC" w:rsidRPr="001F4390" w:rsidRDefault="005E4643" w:rsidP="00B67D8B">
      <w:pPr>
        <w:ind w:firstLine="567"/>
        <w:jc w:val="both"/>
        <w:rPr>
          <w:strike/>
          <w:spacing w:val="4"/>
          <w:sz w:val="28"/>
          <w:szCs w:val="28"/>
        </w:rPr>
      </w:pPr>
      <w:r w:rsidRPr="001F4390">
        <w:rPr>
          <w:spacing w:val="4"/>
          <w:sz w:val="28"/>
          <w:szCs w:val="28"/>
        </w:rPr>
        <w:t>За результатами опитування домогосподарств щодо самооцінки рівня їх доходів, проведеного у січні 2021р., 3</w:t>
      </w:r>
      <w:r w:rsidR="00F2416B" w:rsidRPr="001F4390">
        <w:rPr>
          <w:spacing w:val="4"/>
          <w:sz w:val="28"/>
          <w:szCs w:val="28"/>
        </w:rPr>
        <w:t>,2</w:t>
      </w:r>
      <w:r w:rsidRPr="001F4390">
        <w:rPr>
          <w:spacing w:val="4"/>
          <w:sz w:val="28"/>
          <w:szCs w:val="28"/>
        </w:rPr>
        <w:t>% домогосподарств повідомили, що рівень їх доходу не дозволив забезпечити навіть достатнє харчування</w:t>
      </w:r>
      <w:r w:rsidR="009D0E12" w:rsidRPr="001F4390">
        <w:rPr>
          <w:spacing w:val="4"/>
          <w:sz w:val="28"/>
          <w:szCs w:val="28"/>
        </w:rPr>
        <w:t xml:space="preserve"> (у січні 2020р.</w:t>
      </w:r>
      <w:r w:rsidR="009D0E12" w:rsidRPr="001F4390">
        <w:rPr>
          <w:sz w:val="28"/>
          <w:szCs w:val="28"/>
        </w:rPr>
        <w:t xml:space="preserve"> – </w:t>
      </w:r>
      <w:r w:rsidR="009D0E12" w:rsidRPr="001F4390">
        <w:rPr>
          <w:spacing w:val="4"/>
          <w:sz w:val="28"/>
          <w:szCs w:val="28"/>
        </w:rPr>
        <w:t>2,8%)</w:t>
      </w:r>
      <w:r w:rsidRPr="001F4390">
        <w:rPr>
          <w:spacing w:val="4"/>
          <w:sz w:val="28"/>
          <w:szCs w:val="28"/>
        </w:rPr>
        <w:t xml:space="preserve">. Серед багатодітних домогосподарств частка таких домогосподарств склала </w:t>
      </w:r>
      <w:r w:rsidR="00B67D8B" w:rsidRPr="001F4390">
        <w:rPr>
          <w:spacing w:val="4"/>
          <w:sz w:val="28"/>
          <w:szCs w:val="28"/>
        </w:rPr>
        <w:t>4</w:t>
      </w:r>
      <w:r w:rsidRPr="001F4390">
        <w:rPr>
          <w:spacing w:val="4"/>
          <w:sz w:val="28"/>
          <w:szCs w:val="28"/>
        </w:rPr>
        <w:t>%</w:t>
      </w:r>
      <w:r w:rsidR="004D764F" w:rsidRPr="001F4390">
        <w:rPr>
          <w:spacing w:val="4"/>
          <w:sz w:val="28"/>
          <w:szCs w:val="28"/>
        </w:rPr>
        <w:t xml:space="preserve"> (7%)</w:t>
      </w:r>
      <w:r w:rsidRPr="001F4390">
        <w:rPr>
          <w:spacing w:val="4"/>
          <w:sz w:val="28"/>
          <w:szCs w:val="28"/>
        </w:rPr>
        <w:t>.</w:t>
      </w:r>
      <w:r w:rsidRPr="001F4390">
        <w:rPr>
          <w:strike/>
          <w:spacing w:val="4"/>
          <w:sz w:val="28"/>
          <w:szCs w:val="28"/>
        </w:rPr>
        <w:t xml:space="preserve"> </w:t>
      </w:r>
    </w:p>
    <w:p w:rsidR="00236194" w:rsidRPr="001F4390" w:rsidRDefault="00236194" w:rsidP="00B67D8B">
      <w:pPr>
        <w:ind w:firstLine="567"/>
        <w:jc w:val="both"/>
        <w:rPr>
          <w:spacing w:val="4"/>
          <w:sz w:val="28"/>
          <w:szCs w:val="28"/>
        </w:rPr>
      </w:pPr>
      <w:r w:rsidRPr="001F4390">
        <w:rPr>
          <w:spacing w:val="4"/>
          <w:sz w:val="28"/>
          <w:szCs w:val="28"/>
        </w:rPr>
        <w:t>Сільські домогосподарства традиційно направляли на харчування більшу частину сукупних витрат, ніж міські (відповідно 53% проти 47%). При цьому сільські жителі споживали більше: картоплі – в 1,6 раза, хліба та хлібних продуктів – в 1,3 раза,</w:t>
      </w:r>
      <w:r w:rsidRPr="001F4390">
        <w:rPr>
          <w:sz w:val="28"/>
          <w:szCs w:val="28"/>
        </w:rPr>
        <w:t xml:space="preserve"> </w:t>
      </w:r>
      <w:r w:rsidRPr="001F4390">
        <w:rPr>
          <w:spacing w:val="4"/>
          <w:sz w:val="28"/>
          <w:szCs w:val="28"/>
        </w:rPr>
        <w:t xml:space="preserve">цукру – на 22%, </w:t>
      </w:r>
      <w:r w:rsidRPr="001F4390">
        <w:rPr>
          <w:sz w:val="28"/>
          <w:szCs w:val="28"/>
        </w:rPr>
        <w:t xml:space="preserve">олії та інших рослинних </w:t>
      </w:r>
      <w:r w:rsidR="008D6D32" w:rsidRPr="001F4390">
        <w:rPr>
          <w:sz w:val="28"/>
          <w:szCs w:val="28"/>
        </w:rPr>
        <w:br/>
      </w:r>
      <w:r w:rsidRPr="001F4390">
        <w:rPr>
          <w:sz w:val="28"/>
          <w:szCs w:val="28"/>
        </w:rPr>
        <w:t>жирів – на 15%,</w:t>
      </w:r>
      <w:r w:rsidRPr="001F4390">
        <w:rPr>
          <w:spacing w:val="4"/>
          <w:sz w:val="28"/>
          <w:szCs w:val="28"/>
        </w:rPr>
        <w:t xml:space="preserve"> овочів і баштанних та риби і рибопродуктів –</w:t>
      </w:r>
      <w:r w:rsidR="008D6D32" w:rsidRPr="001F4390">
        <w:rPr>
          <w:spacing w:val="4"/>
          <w:sz w:val="28"/>
          <w:szCs w:val="28"/>
        </w:rPr>
        <w:t xml:space="preserve"> </w:t>
      </w:r>
      <w:r w:rsidRPr="001F4390">
        <w:rPr>
          <w:spacing w:val="4"/>
          <w:sz w:val="28"/>
          <w:szCs w:val="28"/>
        </w:rPr>
        <w:t>на 8%</w:t>
      </w:r>
      <w:r w:rsidR="008D6D32" w:rsidRPr="001F4390">
        <w:rPr>
          <w:spacing w:val="4"/>
          <w:sz w:val="28"/>
          <w:szCs w:val="28"/>
        </w:rPr>
        <w:t xml:space="preserve"> відповідно, </w:t>
      </w:r>
      <w:r w:rsidRPr="001F4390">
        <w:rPr>
          <w:sz w:val="28"/>
          <w:szCs w:val="28"/>
        </w:rPr>
        <w:t>молока та молочних продуктів – на 2,1%</w:t>
      </w:r>
      <w:r w:rsidRPr="001F4390">
        <w:rPr>
          <w:spacing w:val="4"/>
          <w:sz w:val="28"/>
          <w:szCs w:val="28"/>
        </w:rPr>
        <w:t>. Калорійність добового раціону одного сільського жителя (3157 ккал) була на 16% вища, ніж міського, а вартість харчування (71 грн) на 4% менша.</w:t>
      </w:r>
    </w:p>
    <w:p w:rsidR="00236194" w:rsidRPr="001F4390" w:rsidRDefault="00236194" w:rsidP="00236194">
      <w:pPr>
        <w:pStyle w:val="a4"/>
        <w:ind w:firstLine="567"/>
        <w:jc w:val="both"/>
        <w:rPr>
          <w:color w:val="FF0000"/>
          <w:spacing w:val="4"/>
          <w:sz w:val="28"/>
          <w:szCs w:val="28"/>
        </w:rPr>
      </w:pPr>
      <w:r w:rsidRPr="001F4390">
        <w:rPr>
          <w:spacing w:val="4"/>
          <w:sz w:val="28"/>
          <w:szCs w:val="28"/>
        </w:rPr>
        <w:t xml:space="preserve">При збільшенні </w:t>
      </w:r>
      <w:r w:rsidR="008D6D32" w:rsidRPr="001F4390">
        <w:rPr>
          <w:spacing w:val="4"/>
          <w:sz w:val="28"/>
          <w:szCs w:val="28"/>
        </w:rPr>
        <w:t xml:space="preserve">кількості </w:t>
      </w:r>
      <w:r w:rsidRPr="001F4390">
        <w:rPr>
          <w:spacing w:val="4"/>
          <w:sz w:val="28"/>
          <w:szCs w:val="28"/>
        </w:rPr>
        <w:t xml:space="preserve">дітей у домогосподарстві частка сукупних витрат на харчування, як і раніше, мала тенденцію до зростання при одночасному зменшенні вартості та калорійності добового раціону. </w:t>
      </w:r>
    </w:p>
    <w:p w:rsidR="00B735A1" w:rsidRPr="001F4390" w:rsidRDefault="00236194" w:rsidP="00236194">
      <w:pPr>
        <w:pStyle w:val="a4"/>
        <w:ind w:firstLine="567"/>
        <w:jc w:val="both"/>
        <w:rPr>
          <w:spacing w:val="4"/>
          <w:sz w:val="28"/>
          <w:szCs w:val="28"/>
        </w:rPr>
      </w:pPr>
      <w:r w:rsidRPr="001F4390">
        <w:rPr>
          <w:spacing w:val="4"/>
          <w:sz w:val="28"/>
          <w:szCs w:val="28"/>
        </w:rPr>
        <w:t>Домогосподарства з дітьми до 18 років та домогосподарства без дітей направляли на харчування майже половину всіх сукупних витрат, але вартість (67 грн) та калорійність (2483 ккал) продуктів, спожитих за добу однією особою, у домогосподарствах з дітьми до 18 років були менші, ніж у домогосподарствах без дітей – в 1,2 раза та 1,3 раза відповідно</w:t>
      </w:r>
      <w:r w:rsidR="008D6D32" w:rsidRPr="001F4390">
        <w:rPr>
          <w:spacing w:val="4"/>
          <w:sz w:val="28"/>
          <w:szCs w:val="28"/>
        </w:rPr>
        <w:t>.</w:t>
      </w:r>
    </w:p>
    <w:p w:rsidR="00E36CC1" w:rsidRPr="001F4390" w:rsidRDefault="00236194" w:rsidP="00B735A1">
      <w:pPr>
        <w:pStyle w:val="a4"/>
        <w:spacing w:line="350" w:lineRule="exact"/>
        <w:jc w:val="both"/>
        <w:rPr>
          <w:spacing w:val="4"/>
          <w:sz w:val="28"/>
          <w:szCs w:val="28"/>
        </w:rPr>
      </w:pPr>
      <w:r w:rsidRPr="001F4390">
        <w:rPr>
          <w:noProof/>
          <w:spacing w:val="4"/>
          <w:sz w:val="28"/>
          <w:szCs w:val="28"/>
          <w:lang w:eastAsia="uk-UA"/>
        </w:rPr>
        <w:drawing>
          <wp:anchor distT="0" distB="0" distL="114300" distR="114300" simplePos="0" relativeHeight="251661312" behindDoc="0" locked="0" layoutInCell="1" allowOverlap="1" wp14:anchorId="66539A1D" wp14:editId="304C2713">
            <wp:simplePos x="0" y="0"/>
            <wp:positionH relativeFrom="column">
              <wp:posOffset>147599</wp:posOffset>
            </wp:positionH>
            <wp:positionV relativeFrom="paragraph">
              <wp:posOffset>302819</wp:posOffset>
            </wp:positionV>
            <wp:extent cx="5905500" cy="2990850"/>
            <wp:effectExtent l="0" t="0" r="0" b="0"/>
            <wp:wrapNone/>
            <wp:docPr id="10"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A56C30" w:rsidRPr="001F4390" w:rsidRDefault="00A56C30" w:rsidP="00B735A1">
      <w:pPr>
        <w:pStyle w:val="a4"/>
        <w:spacing w:line="350" w:lineRule="exact"/>
        <w:jc w:val="both"/>
        <w:rPr>
          <w:spacing w:val="4"/>
          <w:sz w:val="28"/>
          <w:szCs w:val="28"/>
        </w:rPr>
      </w:pPr>
    </w:p>
    <w:p w:rsidR="00A56C30" w:rsidRPr="001F4390" w:rsidRDefault="00A56C30" w:rsidP="00B735A1">
      <w:pPr>
        <w:pStyle w:val="a4"/>
        <w:spacing w:line="350" w:lineRule="exact"/>
        <w:jc w:val="both"/>
        <w:rPr>
          <w:spacing w:val="4"/>
          <w:sz w:val="28"/>
          <w:szCs w:val="28"/>
        </w:rPr>
      </w:pPr>
    </w:p>
    <w:p w:rsidR="00E36CC1" w:rsidRPr="001F4390" w:rsidRDefault="00E36CC1" w:rsidP="00B735A1">
      <w:pPr>
        <w:pStyle w:val="a4"/>
        <w:spacing w:line="350" w:lineRule="exact"/>
        <w:jc w:val="both"/>
        <w:rPr>
          <w:spacing w:val="4"/>
          <w:sz w:val="28"/>
          <w:szCs w:val="28"/>
        </w:rPr>
      </w:pPr>
    </w:p>
    <w:p w:rsidR="00B735A1" w:rsidRPr="001F4390" w:rsidRDefault="00B735A1" w:rsidP="00B735A1">
      <w:pPr>
        <w:pStyle w:val="a4"/>
        <w:spacing w:line="350" w:lineRule="exact"/>
        <w:jc w:val="both"/>
        <w:rPr>
          <w:spacing w:val="4"/>
          <w:sz w:val="28"/>
          <w:szCs w:val="28"/>
        </w:rPr>
      </w:pPr>
    </w:p>
    <w:p w:rsidR="00B735A1" w:rsidRPr="001F4390" w:rsidRDefault="00B735A1" w:rsidP="00B735A1">
      <w:pPr>
        <w:pStyle w:val="a4"/>
        <w:spacing w:line="350" w:lineRule="exact"/>
        <w:jc w:val="both"/>
        <w:rPr>
          <w:spacing w:val="4"/>
          <w:sz w:val="28"/>
          <w:szCs w:val="28"/>
        </w:rPr>
      </w:pPr>
    </w:p>
    <w:p w:rsidR="00B735A1" w:rsidRPr="001F4390" w:rsidRDefault="00B735A1" w:rsidP="00B735A1">
      <w:pPr>
        <w:pStyle w:val="a4"/>
        <w:spacing w:line="350" w:lineRule="exact"/>
        <w:jc w:val="both"/>
        <w:rPr>
          <w:spacing w:val="4"/>
          <w:sz w:val="28"/>
          <w:szCs w:val="28"/>
        </w:rPr>
      </w:pPr>
    </w:p>
    <w:p w:rsidR="00B735A1" w:rsidRPr="001F4390" w:rsidRDefault="00B735A1" w:rsidP="00B735A1">
      <w:pPr>
        <w:pStyle w:val="a4"/>
        <w:spacing w:line="350" w:lineRule="exact"/>
        <w:jc w:val="both"/>
        <w:rPr>
          <w:spacing w:val="4"/>
          <w:sz w:val="28"/>
          <w:szCs w:val="28"/>
        </w:rPr>
      </w:pPr>
    </w:p>
    <w:p w:rsidR="00B735A1" w:rsidRPr="001F4390" w:rsidRDefault="00B735A1" w:rsidP="00B735A1">
      <w:pPr>
        <w:pStyle w:val="a4"/>
        <w:spacing w:line="350" w:lineRule="exact"/>
        <w:jc w:val="both"/>
        <w:rPr>
          <w:spacing w:val="4"/>
          <w:sz w:val="28"/>
          <w:szCs w:val="28"/>
        </w:rPr>
      </w:pPr>
    </w:p>
    <w:p w:rsidR="00B735A1" w:rsidRPr="001F4390" w:rsidRDefault="00B735A1" w:rsidP="00B735A1">
      <w:pPr>
        <w:pStyle w:val="a4"/>
        <w:spacing w:line="350" w:lineRule="exact"/>
        <w:jc w:val="both"/>
        <w:rPr>
          <w:sz w:val="22"/>
          <w:szCs w:val="22"/>
        </w:rPr>
      </w:pPr>
    </w:p>
    <w:p w:rsidR="00B735A1" w:rsidRPr="001F4390" w:rsidRDefault="00B735A1" w:rsidP="00B735A1">
      <w:pPr>
        <w:pStyle w:val="a4"/>
        <w:spacing w:line="350" w:lineRule="exact"/>
        <w:jc w:val="both"/>
        <w:rPr>
          <w:sz w:val="22"/>
          <w:szCs w:val="22"/>
        </w:rPr>
      </w:pPr>
    </w:p>
    <w:p w:rsidR="00B735A1" w:rsidRPr="001F4390" w:rsidRDefault="00B735A1" w:rsidP="00B735A1">
      <w:pPr>
        <w:pStyle w:val="a4"/>
        <w:spacing w:line="350" w:lineRule="exact"/>
        <w:jc w:val="both"/>
        <w:rPr>
          <w:sz w:val="22"/>
          <w:szCs w:val="22"/>
        </w:rPr>
      </w:pPr>
    </w:p>
    <w:p w:rsidR="00B735A1" w:rsidRPr="001F4390" w:rsidRDefault="00B735A1" w:rsidP="00B735A1">
      <w:pPr>
        <w:pStyle w:val="a4"/>
        <w:spacing w:line="350" w:lineRule="exact"/>
        <w:jc w:val="both"/>
        <w:rPr>
          <w:sz w:val="22"/>
          <w:szCs w:val="22"/>
        </w:rPr>
      </w:pPr>
    </w:p>
    <w:p w:rsidR="00B735A1" w:rsidRPr="001F4390" w:rsidRDefault="00B735A1" w:rsidP="00B735A1">
      <w:pPr>
        <w:pStyle w:val="a4"/>
        <w:spacing w:line="350" w:lineRule="exact"/>
        <w:jc w:val="both"/>
        <w:rPr>
          <w:spacing w:val="4"/>
          <w:sz w:val="28"/>
          <w:szCs w:val="28"/>
        </w:rPr>
      </w:pPr>
    </w:p>
    <w:p w:rsidR="00B735A1" w:rsidRPr="001F4390" w:rsidRDefault="00B735A1" w:rsidP="00B735A1">
      <w:pPr>
        <w:pStyle w:val="a4"/>
        <w:spacing w:line="350" w:lineRule="exact"/>
        <w:jc w:val="both"/>
        <w:rPr>
          <w:spacing w:val="4"/>
          <w:sz w:val="28"/>
          <w:szCs w:val="28"/>
        </w:rPr>
      </w:pPr>
    </w:p>
    <w:p w:rsidR="00BA705F" w:rsidRPr="001F4390" w:rsidRDefault="00BA705F" w:rsidP="005B2EFA">
      <w:pPr>
        <w:pStyle w:val="a4"/>
        <w:spacing w:line="350" w:lineRule="exact"/>
        <w:ind w:firstLine="0"/>
        <w:rPr>
          <w:sz w:val="20"/>
        </w:rPr>
      </w:pPr>
    </w:p>
    <w:p w:rsidR="00B735A1" w:rsidRPr="001F4390" w:rsidRDefault="00B735A1" w:rsidP="005B2EFA">
      <w:pPr>
        <w:pStyle w:val="a4"/>
        <w:spacing w:line="350" w:lineRule="exact"/>
        <w:ind w:firstLine="0"/>
        <w:rPr>
          <w:sz w:val="20"/>
        </w:rPr>
      </w:pPr>
      <w:r w:rsidRPr="001F4390">
        <w:rPr>
          <w:sz w:val="20"/>
        </w:rPr>
        <w:t>*Включаючи цукор, використаний на виготовлення кондитерських виробів, та мед.</w:t>
      </w:r>
    </w:p>
    <w:p w:rsidR="005B2EFA" w:rsidRPr="001F4390" w:rsidRDefault="005B2EFA" w:rsidP="00634EFF">
      <w:pPr>
        <w:pStyle w:val="a4"/>
        <w:ind w:firstLine="567"/>
        <w:jc w:val="both"/>
        <w:rPr>
          <w:spacing w:val="4"/>
          <w:sz w:val="28"/>
          <w:szCs w:val="28"/>
        </w:rPr>
      </w:pPr>
    </w:p>
    <w:p w:rsidR="00236194" w:rsidRPr="001F4390" w:rsidRDefault="00236194" w:rsidP="00236194">
      <w:pPr>
        <w:pStyle w:val="a4"/>
        <w:ind w:firstLine="567"/>
        <w:jc w:val="both"/>
        <w:rPr>
          <w:spacing w:val="4"/>
          <w:sz w:val="28"/>
          <w:szCs w:val="28"/>
        </w:rPr>
      </w:pPr>
      <w:r w:rsidRPr="001F4390">
        <w:rPr>
          <w:spacing w:val="4"/>
          <w:sz w:val="28"/>
          <w:szCs w:val="28"/>
        </w:rPr>
        <w:t xml:space="preserve">У домогосподарствах з дітьми скоротилося споживання риби та рибопродуктів – на 15%, фруктів, ягід, горіхів, винограду – на 8%, картоплі – на 7%, цукру – на 4%, овочів і баштанних – на 1,4%, молока і молочних продуктів – на 1,2%. </w:t>
      </w:r>
      <w:r w:rsidRPr="001F4390">
        <w:rPr>
          <w:sz w:val="28"/>
          <w:szCs w:val="28"/>
        </w:rPr>
        <w:t xml:space="preserve">Збільшилося порівняно з 2019р. споживання </w:t>
      </w:r>
      <w:r w:rsidRPr="001F4390">
        <w:rPr>
          <w:spacing w:val="4"/>
          <w:sz w:val="28"/>
          <w:szCs w:val="28"/>
        </w:rPr>
        <w:t>м’яса і м’ясопродуктів – на 2,2%. Залишил</w:t>
      </w:r>
      <w:r w:rsidR="008D6D32" w:rsidRPr="001F4390">
        <w:rPr>
          <w:spacing w:val="4"/>
          <w:sz w:val="28"/>
          <w:szCs w:val="28"/>
        </w:rPr>
        <w:t xml:space="preserve">ося на рівні 2019р. споживання </w:t>
      </w:r>
      <w:r w:rsidRPr="001F4390">
        <w:rPr>
          <w:sz w:val="28"/>
          <w:szCs w:val="28"/>
        </w:rPr>
        <w:t>хліба та хлібопродуктів,</w:t>
      </w:r>
      <w:r w:rsidRPr="001F4390">
        <w:rPr>
          <w:spacing w:val="4"/>
          <w:sz w:val="28"/>
          <w:szCs w:val="28"/>
        </w:rPr>
        <w:t xml:space="preserve"> олії та інших рослинних жирів та яєць. </w:t>
      </w:r>
    </w:p>
    <w:p w:rsidR="00236194" w:rsidRPr="001F4390" w:rsidRDefault="00236194" w:rsidP="00236194">
      <w:pPr>
        <w:pStyle w:val="a4"/>
        <w:ind w:firstLine="567"/>
        <w:jc w:val="both"/>
        <w:rPr>
          <w:spacing w:val="4"/>
          <w:sz w:val="28"/>
          <w:szCs w:val="28"/>
        </w:rPr>
      </w:pPr>
      <w:r w:rsidRPr="001F4390">
        <w:rPr>
          <w:spacing w:val="4"/>
          <w:sz w:val="28"/>
          <w:szCs w:val="28"/>
        </w:rPr>
        <w:t xml:space="preserve">Споживання майже всіх основних продуктів харчування однією особою в багатодітних домогосподарствах було значно нижчим, ніж у домогосподарствах з однією дитиною: фруктів, ягід, горіхів, винограду в </w:t>
      </w:r>
      <w:r w:rsidR="00E36CC1" w:rsidRPr="001F4390">
        <w:rPr>
          <w:spacing w:val="4"/>
          <w:sz w:val="28"/>
          <w:szCs w:val="28"/>
        </w:rPr>
        <w:br/>
      </w:r>
      <w:r w:rsidRPr="001F4390">
        <w:rPr>
          <w:spacing w:val="4"/>
          <w:sz w:val="28"/>
          <w:szCs w:val="28"/>
        </w:rPr>
        <w:t xml:space="preserve">1,3 раза, </w:t>
      </w:r>
      <w:r w:rsidR="00BD3041" w:rsidRPr="001F4390">
        <w:rPr>
          <w:spacing w:val="4"/>
          <w:sz w:val="28"/>
          <w:szCs w:val="28"/>
        </w:rPr>
        <w:t xml:space="preserve">овочів і баштанних, </w:t>
      </w:r>
      <w:r w:rsidR="003945EF" w:rsidRPr="001F4390">
        <w:rPr>
          <w:spacing w:val="4"/>
          <w:sz w:val="28"/>
          <w:szCs w:val="28"/>
        </w:rPr>
        <w:t xml:space="preserve">м’яса і м’ясопродуктів, яєць, </w:t>
      </w:r>
      <w:r w:rsidRPr="001F4390">
        <w:rPr>
          <w:spacing w:val="4"/>
          <w:sz w:val="28"/>
          <w:szCs w:val="28"/>
        </w:rPr>
        <w:t xml:space="preserve">молока і молочних </w:t>
      </w:r>
      <w:r w:rsidR="008D6D32" w:rsidRPr="001F4390">
        <w:rPr>
          <w:spacing w:val="4"/>
          <w:sz w:val="28"/>
          <w:szCs w:val="28"/>
        </w:rPr>
        <w:t>продуктів, риби і рибопродуктів</w:t>
      </w:r>
      <w:r w:rsidRPr="001F4390">
        <w:rPr>
          <w:spacing w:val="4"/>
          <w:sz w:val="28"/>
          <w:szCs w:val="28"/>
        </w:rPr>
        <w:t xml:space="preserve"> та цукру – в 1,2 раза кожного, </w:t>
      </w:r>
      <w:r w:rsidR="003945EF" w:rsidRPr="001F4390">
        <w:rPr>
          <w:spacing w:val="4"/>
          <w:sz w:val="28"/>
          <w:szCs w:val="28"/>
        </w:rPr>
        <w:t xml:space="preserve">олії та інших рослинних жирів, </w:t>
      </w:r>
      <w:r w:rsidRPr="001F4390">
        <w:rPr>
          <w:spacing w:val="4"/>
          <w:sz w:val="28"/>
          <w:szCs w:val="28"/>
        </w:rPr>
        <w:t xml:space="preserve">хліба та хлібопродуктів </w:t>
      </w:r>
      <w:r w:rsidR="008D6D32" w:rsidRPr="001F4390">
        <w:rPr>
          <w:spacing w:val="4"/>
          <w:sz w:val="28"/>
          <w:szCs w:val="28"/>
        </w:rPr>
        <w:t>і</w:t>
      </w:r>
      <w:r w:rsidRPr="001F4390">
        <w:rPr>
          <w:spacing w:val="4"/>
          <w:sz w:val="28"/>
          <w:szCs w:val="28"/>
        </w:rPr>
        <w:t xml:space="preserve"> картоплі – </w:t>
      </w:r>
      <w:r w:rsidR="003945EF" w:rsidRPr="001F4390">
        <w:rPr>
          <w:spacing w:val="4"/>
          <w:sz w:val="28"/>
          <w:szCs w:val="28"/>
        </w:rPr>
        <w:t>на 9</w:t>
      </w:r>
      <w:r w:rsidR="00E36CC1" w:rsidRPr="001F4390">
        <w:rPr>
          <w:spacing w:val="4"/>
          <w:sz w:val="28"/>
          <w:szCs w:val="28"/>
        </w:rPr>
        <w:t>–</w:t>
      </w:r>
      <w:r w:rsidR="003945EF" w:rsidRPr="001F4390">
        <w:rPr>
          <w:spacing w:val="4"/>
          <w:sz w:val="28"/>
          <w:szCs w:val="28"/>
        </w:rPr>
        <w:t>6%</w:t>
      </w:r>
      <w:r w:rsidRPr="001F4390">
        <w:rPr>
          <w:spacing w:val="4"/>
          <w:sz w:val="28"/>
          <w:szCs w:val="28"/>
        </w:rPr>
        <w:t xml:space="preserve"> кожного.</w:t>
      </w:r>
    </w:p>
    <w:p w:rsidR="00634EFF" w:rsidRPr="001F4390" w:rsidRDefault="00236194" w:rsidP="00236194">
      <w:pPr>
        <w:pStyle w:val="a4"/>
        <w:ind w:firstLine="567"/>
        <w:jc w:val="both"/>
        <w:rPr>
          <w:spacing w:val="4"/>
          <w:sz w:val="28"/>
          <w:szCs w:val="28"/>
        </w:rPr>
      </w:pPr>
      <w:r w:rsidRPr="001F4390">
        <w:rPr>
          <w:spacing w:val="4"/>
          <w:sz w:val="28"/>
          <w:szCs w:val="28"/>
        </w:rPr>
        <w:t>Кількість спожитих основних продуктів харчування однією особою в домогосподарствах без дітей була в 1,5–1,</w:t>
      </w:r>
      <w:r w:rsidRPr="001F4390">
        <w:rPr>
          <w:spacing w:val="4"/>
          <w:sz w:val="28"/>
          <w:szCs w:val="28"/>
          <w:lang w:val="ru-RU"/>
        </w:rPr>
        <w:t>1</w:t>
      </w:r>
      <w:r w:rsidRPr="001F4390">
        <w:rPr>
          <w:spacing w:val="4"/>
          <w:sz w:val="28"/>
          <w:szCs w:val="28"/>
        </w:rPr>
        <w:t xml:space="preserve"> раза більшою, ніж у домогосподарствах з дітьми</w:t>
      </w:r>
      <w:r w:rsidR="00C05EA9" w:rsidRPr="001F4390">
        <w:rPr>
          <w:spacing w:val="4"/>
          <w:sz w:val="28"/>
          <w:szCs w:val="28"/>
        </w:rPr>
        <w:t>.</w:t>
      </w:r>
      <w:r w:rsidR="00634EFF" w:rsidRPr="001F4390">
        <w:rPr>
          <w:spacing w:val="4"/>
          <w:sz w:val="28"/>
          <w:szCs w:val="28"/>
        </w:rPr>
        <w:t xml:space="preserve"> </w:t>
      </w:r>
    </w:p>
    <w:p w:rsidR="005E4643" w:rsidRPr="001F4390" w:rsidRDefault="005E4643" w:rsidP="005E4643">
      <w:pPr>
        <w:pStyle w:val="a4"/>
        <w:ind w:firstLine="567"/>
        <w:jc w:val="both"/>
        <w:rPr>
          <w:sz w:val="28"/>
          <w:szCs w:val="28"/>
        </w:rPr>
      </w:pPr>
      <w:r w:rsidRPr="001F4390">
        <w:rPr>
          <w:sz w:val="28"/>
          <w:szCs w:val="28"/>
        </w:rPr>
        <w:t>Підсумки опитування домогосподарств щодо самооцінки рівня своїх доходів засвідчили, що</w:t>
      </w:r>
      <w:r w:rsidRPr="001F4390">
        <w:t xml:space="preserve"> </w:t>
      </w:r>
      <w:r w:rsidRPr="001F4390">
        <w:rPr>
          <w:sz w:val="28"/>
          <w:szCs w:val="28"/>
        </w:rPr>
        <w:t xml:space="preserve">переважна більшість домогосподарств, рівень доходу яких не дозволяв забезпечити навіть достатнє харчування,  незалежно від місця проживання, наявності та кількості дітей повідомили, що мали можливість харчуватися гарячими стравами щодня. </w:t>
      </w:r>
    </w:p>
    <w:p w:rsidR="00A51F21" w:rsidRPr="001F4390" w:rsidRDefault="005E4643" w:rsidP="003C245D">
      <w:pPr>
        <w:pStyle w:val="a4"/>
        <w:ind w:firstLine="567"/>
        <w:jc w:val="both"/>
        <w:rPr>
          <w:sz w:val="28"/>
          <w:szCs w:val="28"/>
        </w:rPr>
      </w:pPr>
      <w:r w:rsidRPr="001F4390">
        <w:rPr>
          <w:sz w:val="28"/>
          <w:szCs w:val="28"/>
        </w:rPr>
        <w:t xml:space="preserve">Порівняно з </w:t>
      </w:r>
      <w:r w:rsidR="00FC459D" w:rsidRPr="001F4390">
        <w:rPr>
          <w:sz w:val="28"/>
          <w:szCs w:val="28"/>
        </w:rPr>
        <w:t xml:space="preserve">січнем </w:t>
      </w:r>
      <w:r w:rsidRPr="001F4390">
        <w:rPr>
          <w:sz w:val="28"/>
          <w:szCs w:val="28"/>
        </w:rPr>
        <w:t xml:space="preserve">2020р. дещо збільшилися частки домогосподарств із дітьми, які через нестачу коштів мали певні проблеми з харчуванням дітей </w:t>
      </w:r>
      <w:r w:rsidR="008D6D32" w:rsidRPr="001F4390">
        <w:rPr>
          <w:sz w:val="28"/>
          <w:szCs w:val="28"/>
        </w:rPr>
        <w:t xml:space="preserve">не мали змоги </w:t>
      </w:r>
      <w:r w:rsidRPr="001F4390">
        <w:rPr>
          <w:sz w:val="28"/>
          <w:szCs w:val="28"/>
        </w:rPr>
        <w:t xml:space="preserve">давати дітям фрукти чи соки – 2,1% </w:t>
      </w:r>
      <w:r w:rsidRPr="001F4390">
        <w:rPr>
          <w:spacing w:val="4"/>
          <w:sz w:val="28"/>
          <w:szCs w:val="28"/>
        </w:rPr>
        <w:t>(у 2019р. – 1,6%)</w:t>
      </w:r>
      <w:r w:rsidRPr="001F4390">
        <w:rPr>
          <w:sz w:val="28"/>
          <w:szCs w:val="28"/>
        </w:rPr>
        <w:t>,</w:t>
      </w:r>
      <w:r w:rsidR="00EA4BB1" w:rsidRPr="001F4390">
        <w:rPr>
          <w:sz w:val="28"/>
          <w:szCs w:val="28"/>
        </w:rPr>
        <w:t xml:space="preserve"> </w:t>
      </w:r>
      <w:r w:rsidRPr="001F4390">
        <w:rPr>
          <w:sz w:val="28"/>
          <w:szCs w:val="28"/>
        </w:rPr>
        <w:t>їжу або гроші на харчування в школі – 1,</w:t>
      </w:r>
      <w:r w:rsidR="007E683E" w:rsidRPr="001F4390">
        <w:rPr>
          <w:sz w:val="28"/>
          <w:szCs w:val="28"/>
        </w:rPr>
        <w:t>0</w:t>
      </w:r>
      <w:r w:rsidRPr="001F4390">
        <w:rPr>
          <w:sz w:val="28"/>
          <w:szCs w:val="28"/>
        </w:rPr>
        <w:t xml:space="preserve">% (0,8%). </w:t>
      </w:r>
      <w:r w:rsidR="00B67D8B" w:rsidRPr="001F4390">
        <w:rPr>
          <w:sz w:val="28"/>
          <w:szCs w:val="28"/>
        </w:rPr>
        <w:t>Серед багатодітних домогосподарств</w:t>
      </w:r>
      <w:r w:rsidR="00EA41B7" w:rsidRPr="001F4390">
        <w:rPr>
          <w:sz w:val="28"/>
          <w:szCs w:val="28"/>
          <w:lang w:val="ru-RU"/>
        </w:rPr>
        <w:t xml:space="preserve"> </w:t>
      </w:r>
      <w:r w:rsidR="00E14FB7" w:rsidRPr="001F4390">
        <w:rPr>
          <w:sz w:val="28"/>
          <w:szCs w:val="28"/>
          <w:lang w:val="ru-RU"/>
        </w:rPr>
        <w:t xml:space="preserve">по </w:t>
      </w:r>
      <w:r w:rsidR="003E2720" w:rsidRPr="001F4390">
        <w:rPr>
          <w:sz w:val="28"/>
          <w:szCs w:val="28"/>
        </w:rPr>
        <w:t xml:space="preserve">3% </w:t>
      </w:r>
      <w:r w:rsidR="00EA41B7" w:rsidRPr="001F4390">
        <w:rPr>
          <w:sz w:val="28"/>
          <w:szCs w:val="28"/>
          <w:lang w:val="ru-RU"/>
        </w:rPr>
        <w:t xml:space="preserve">не </w:t>
      </w:r>
      <w:proofErr w:type="spellStart"/>
      <w:r w:rsidR="00EA41B7" w:rsidRPr="001F4390">
        <w:rPr>
          <w:sz w:val="28"/>
          <w:szCs w:val="28"/>
          <w:lang w:val="ru-RU"/>
        </w:rPr>
        <w:t>мали</w:t>
      </w:r>
      <w:proofErr w:type="spellEnd"/>
      <w:r w:rsidR="00EA41B7" w:rsidRPr="001F4390">
        <w:rPr>
          <w:sz w:val="28"/>
          <w:szCs w:val="28"/>
          <w:lang w:val="ru-RU"/>
        </w:rPr>
        <w:t xml:space="preserve"> </w:t>
      </w:r>
      <w:proofErr w:type="spellStart"/>
      <w:r w:rsidR="00EA41B7" w:rsidRPr="001F4390">
        <w:rPr>
          <w:sz w:val="28"/>
          <w:szCs w:val="28"/>
          <w:lang w:val="ru-RU"/>
        </w:rPr>
        <w:t>змоги</w:t>
      </w:r>
      <w:proofErr w:type="spellEnd"/>
      <w:r w:rsidR="00EA41B7" w:rsidRPr="001F4390">
        <w:rPr>
          <w:sz w:val="28"/>
          <w:szCs w:val="28"/>
        </w:rPr>
        <w:t xml:space="preserve"> давати дітям їжу або гроші на харчування в школі</w:t>
      </w:r>
      <w:r w:rsidR="00E14FB7" w:rsidRPr="001F4390">
        <w:rPr>
          <w:sz w:val="28"/>
          <w:szCs w:val="28"/>
          <w:lang w:val="ru-RU"/>
        </w:rPr>
        <w:t xml:space="preserve"> та </w:t>
      </w:r>
      <w:r w:rsidR="00E14FB7" w:rsidRPr="001F4390">
        <w:rPr>
          <w:sz w:val="28"/>
          <w:szCs w:val="28"/>
        </w:rPr>
        <w:t xml:space="preserve">ласощі хоча б раз на тиждень </w:t>
      </w:r>
      <w:r w:rsidR="00EA41B7" w:rsidRPr="001F4390">
        <w:rPr>
          <w:sz w:val="28"/>
          <w:szCs w:val="28"/>
        </w:rPr>
        <w:t>(у 2020р. –</w:t>
      </w:r>
      <w:r w:rsidR="00741357" w:rsidRPr="001F4390">
        <w:rPr>
          <w:sz w:val="28"/>
          <w:szCs w:val="28"/>
        </w:rPr>
        <w:t xml:space="preserve"> </w:t>
      </w:r>
      <w:r w:rsidR="00EA41B7" w:rsidRPr="001F4390">
        <w:rPr>
          <w:sz w:val="28"/>
          <w:szCs w:val="28"/>
        </w:rPr>
        <w:t>4%</w:t>
      </w:r>
      <w:r w:rsidR="00E14FB7" w:rsidRPr="001F4390">
        <w:rPr>
          <w:sz w:val="28"/>
          <w:szCs w:val="28"/>
          <w:lang w:val="ru-RU"/>
        </w:rPr>
        <w:t xml:space="preserve"> та 3% в</w:t>
      </w:r>
      <w:proofErr w:type="spellStart"/>
      <w:r w:rsidR="00E14FB7" w:rsidRPr="001F4390">
        <w:rPr>
          <w:sz w:val="28"/>
          <w:szCs w:val="28"/>
        </w:rPr>
        <w:t>ідповідно</w:t>
      </w:r>
      <w:proofErr w:type="spellEnd"/>
      <w:r w:rsidR="00EA41B7" w:rsidRPr="001F4390">
        <w:rPr>
          <w:sz w:val="28"/>
          <w:szCs w:val="28"/>
        </w:rPr>
        <w:t>)</w:t>
      </w:r>
      <w:r w:rsidR="003C245D" w:rsidRPr="001F4390">
        <w:rPr>
          <w:sz w:val="28"/>
          <w:szCs w:val="28"/>
        </w:rPr>
        <w:t>,</w:t>
      </w:r>
      <w:r w:rsidR="00B67D8B" w:rsidRPr="001F4390">
        <w:rPr>
          <w:sz w:val="28"/>
          <w:szCs w:val="28"/>
        </w:rPr>
        <w:t xml:space="preserve"> </w:t>
      </w:r>
      <w:r w:rsidR="00AF6858" w:rsidRPr="001F4390">
        <w:rPr>
          <w:sz w:val="28"/>
          <w:szCs w:val="28"/>
        </w:rPr>
        <w:t xml:space="preserve">повідомили про неможливість </w:t>
      </w:r>
      <w:r w:rsidR="00B67D8B" w:rsidRPr="001F4390">
        <w:rPr>
          <w:sz w:val="28"/>
          <w:szCs w:val="28"/>
        </w:rPr>
        <w:t>давати дітям фрукти чи соки</w:t>
      </w:r>
      <w:r w:rsidR="005E0446" w:rsidRPr="001F4390">
        <w:rPr>
          <w:sz w:val="28"/>
          <w:szCs w:val="28"/>
        </w:rPr>
        <w:t>, як і у 2020р., 4% домогосподарств.</w:t>
      </w:r>
    </w:p>
    <w:p w:rsidR="00B205F5" w:rsidRPr="001F4390" w:rsidRDefault="00B205F5" w:rsidP="00B205F5">
      <w:pPr>
        <w:pStyle w:val="a4"/>
        <w:ind w:firstLine="567"/>
        <w:jc w:val="both"/>
        <w:rPr>
          <w:spacing w:val="4"/>
          <w:sz w:val="28"/>
          <w:szCs w:val="28"/>
        </w:rPr>
      </w:pPr>
      <w:r w:rsidRPr="001F4390">
        <w:rPr>
          <w:spacing w:val="4"/>
          <w:sz w:val="28"/>
          <w:szCs w:val="28"/>
        </w:rPr>
        <w:t xml:space="preserve">У домогосподарствах, у складі яких є молоді сім’ї, витрати на харчування склали </w:t>
      </w:r>
      <w:r w:rsidRPr="001F4390">
        <w:rPr>
          <w:spacing w:val="4"/>
          <w:sz w:val="28"/>
          <w:szCs w:val="28"/>
          <w:lang w:val="ru-RU"/>
        </w:rPr>
        <w:t>48</w:t>
      </w:r>
      <w:r w:rsidRPr="001F4390">
        <w:rPr>
          <w:spacing w:val="4"/>
          <w:sz w:val="28"/>
          <w:szCs w:val="28"/>
        </w:rPr>
        <w:t xml:space="preserve">% усіх сукупних витрат, що на </w:t>
      </w:r>
      <w:r w:rsidRPr="001F4390">
        <w:rPr>
          <w:spacing w:val="4"/>
          <w:sz w:val="28"/>
          <w:szCs w:val="28"/>
          <w:lang w:val="ru-RU"/>
        </w:rPr>
        <w:t>1,6</w:t>
      </w:r>
      <w:r w:rsidRPr="001F4390">
        <w:rPr>
          <w:spacing w:val="4"/>
          <w:sz w:val="28"/>
          <w:szCs w:val="28"/>
        </w:rPr>
        <w:t xml:space="preserve"> в.п. менше, ніж у середньому по всіх домогосподарствах. Вартість добового раціону однієї особи цієї групи домогосподарств становила 68 грн (у 2019р. – 69 грн), калорійність – 2405 ккал (2527 ккал). </w:t>
      </w:r>
    </w:p>
    <w:p w:rsidR="00B205F5" w:rsidRPr="001F4390" w:rsidRDefault="00B205F5" w:rsidP="00B205F5">
      <w:pPr>
        <w:pStyle w:val="a4"/>
        <w:ind w:firstLine="567"/>
        <w:jc w:val="both"/>
        <w:rPr>
          <w:sz w:val="28"/>
        </w:rPr>
      </w:pPr>
      <w:r w:rsidRPr="001F4390">
        <w:rPr>
          <w:sz w:val="28"/>
        </w:rPr>
        <w:t xml:space="preserve">Продовжувала зберігатися диференціація в споживанні продуктів харчування між різними за рівнем добробуту верствами населення. Домогосподарства десятого </w:t>
      </w:r>
      <w:proofErr w:type="spellStart"/>
      <w:r w:rsidRPr="001F4390">
        <w:rPr>
          <w:sz w:val="28"/>
        </w:rPr>
        <w:t>дециля</w:t>
      </w:r>
      <w:proofErr w:type="spellEnd"/>
      <w:r w:rsidRPr="001F4390">
        <w:rPr>
          <w:sz w:val="28"/>
        </w:rPr>
        <w:t xml:space="preserve"> спрямовували на харчування 38% своїх витрат, що в 1,6 менше, ніж у групі домогосподарств </w:t>
      </w:r>
      <w:proofErr w:type="spellStart"/>
      <w:r w:rsidR="00F8289B" w:rsidRPr="001F4390">
        <w:rPr>
          <w:sz w:val="28"/>
          <w:lang w:val="ru-RU"/>
        </w:rPr>
        <w:t>першого</w:t>
      </w:r>
      <w:proofErr w:type="spellEnd"/>
      <w:r w:rsidR="00F8289B" w:rsidRPr="001F4390">
        <w:rPr>
          <w:sz w:val="28"/>
          <w:lang w:val="ru-RU"/>
        </w:rPr>
        <w:t xml:space="preserve"> дециля.</w:t>
      </w:r>
      <w:r w:rsidRPr="001F4390">
        <w:rPr>
          <w:sz w:val="28"/>
        </w:rPr>
        <w:t xml:space="preserve"> Разом з тим вартість добового раціону однієї особи з групи </w:t>
      </w:r>
      <w:r w:rsidR="00F8289B" w:rsidRPr="001F4390">
        <w:rPr>
          <w:sz w:val="28"/>
        </w:rPr>
        <w:t xml:space="preserve">домогосподарств </w:t>
      </w:r>
      <w:proofErr w:type="spellStart"/>
      <w:r w:rsidR="00F8289B" w:rsidRPr="001F4390">
        <w:rPr>
          <w:sz w:val="28"/>
          <w:lang w:val="ru-RU"/>
        </w:rPr>
        <w:t>першого</w:t>
      </w:r>
      <w:proofErr w:type="spellEnd"/>
      <w:r w:rsidR="00F8289B" w:rsidRPr="001F4390">
        <w:rPr>
          <w:sz w:val="28"/>
          <w:lang w:val="ru-RU"/>
        </w:rPr>
        <w:t xml:space="preserve"> дециля</w:t>
      </w:r>
      <w:r w:rsidRPr="001F4390">
        <w:rPr>
          <w:sz w:val="28"/>
        </w:rPr>
        <w:t xml:space="preserve"> становила 5</w:t>
      </w:r>
      <w:r w:rsidR="00F8289B" w:rsidRPr="001F4390">
        <w:rPr>
          <w:sz w:val="28"/>
          <w:lang w:val="ru-RU"/>
        </w:rPr>
        <w:t>1</w:t>
      </w:r>
      <w:r w:rsidRPr="001F4390">
        <w:rPr>
          <w:sz w:val="28"/>
        </w:rPr>
        <w:t xml:space="preserve"> грн проти 104 грн на одну особу </w:t>
      </w:r>
      <w:r w:rsidRPr="001F4390">
        <w:rPr>
          <w:sz w:val="28"/>
          <w:szCs w:val="28"/>
        </w:rPr>
        <w:t>домогосподарств десятого дециля.</w:t>
      </w:r>
    </w:p>
    <w:p w:rsidR="00634EFF" w:rsidRPr="001F4390" w:rsidRDefault="00B205F5" w:rsidP="00B205F5">
      <w:pPr>
        <w:pStyle w:val="a4"/>
        <w:ind w:firstLine="567"/>
        <w:jc w:val="both"/>
        <w:rPr>
          <w:sz w:val="28"/>
        </w:rPr>
      </w:pPr>
      <w:r w:rsidRPr="001F4390">
        <w:rPr>
          <w:sz w:val="28"/>
        </w:rPr>
        <w:t>Значну роль у забезпеченні населення, особливо сільського, продуктами харчування традиційно продовжували відігравати особисті підсобні господарства. В них було вироблено 59% картоплі</w:t>
      </w:r>
      <w:r w:rsidR="00B23955" w:rsidRPr="001F4390">
        <w:rPr>
          <w:sz w:val="28"/>
        </w:rPr>
        <w:t>,</w:t>
      </w:r>
      <w:r w:rsidRPr="001F4390">
        <w:rPr>
          <w:sz w:val="28"/>
        </w:rPr>
        <w:t xml:space="preserve"> спожитої в домогосподарствах, третину яєць</w:t>
      </w:r>
      <w:r w:rsidR="00855DC2" w:rsidRPr="001F4390">
        <w:rPr>
          <w:sz w:val="28"/>
        </w:rPr>
        <w:t>, 29%</w:t>
      </w:r>
      <w:r w:rsidRPr="001F4390">
        <w:rPr>
          <w:sz w:val="28"/>
        </w:rPr>
        <w:t xml:space="preserve"> овочів і баштанних, по 12% – фруктів, </w:t>
      </w:r>
      <w:r w:rsidRPr="001F4390">
        <w:rPr>
          <w:sz w:val="28"/>
        </w:rPr>
        <w:lastRenderedPageBreak/>
        <w:t xml:space="preserve">ягід, горіхів, винограду, м’яса і м’ясопродуктів та молока і молочних продуктів. У сільських домогосподарствах було вироблено відповідно від 94% до 32% зазначених спожитих продуктів та майже вся спожита картопля. </w:t>
      </w:r>
      <w:r w:rsidR="00634EFF" w:rsidRPr="001F4390">
        <w:rPr>
          <w:sz w:val="28"/>
        </w:rPr>
        <w:t xml:space="preserve"> </w:t>
      </w:r>
    </w:p>
    <w:p w:rsidR="00BA772D" w:rsidRPr="001F4390" w:rsidRDefault="00BA772D" w:rsidP="00BA772D">
      <w:pPr>
        <w:pStyle w:val="a4"/>
        <w:ind w:firstLine="567"/>
        <w:jc w:val="both"/>
        <w:rPr>
          <w:sz w:val="28"/>
        </w:rPr>
      </w:pPr>
      <w:r w:rsidRPr="001F4390">
        <w:rPr>
          <w:sz w:val="28"/>
        </w:rPr>
        <w:t xml:space="preserve">На </w:t>
      </w:r>
      <w:bookmarkStart w:id="3" w:name="_Hlk51071540"/>
      <w:r w:rsidRPr="001F4390">
        <w:rPr>
          <w:b/>
          <w:sz w:val="28"/>
        </w:rPr>
        <w:t>купівлю непродовольчих товарів та послуг</w:t>
      </w:r>
      <w:bookmarkEnd w:id="3"/>
      <w:r w:rsidRPr="001F4390">
        <w:rPr>
          <w:b/>
          <w:sz w:val="28"/>
        </w:rPr>
        <w:t xml:space="preserve"> </w:t>
      </w:r>
      <w:r w:rsidRPr="001F4390">
        <w:rPr>
          <w:sz w:val="28"/>
        </w:rPr>
        <w:t>(без витрат на харчування поза домом) домогосподарства щомісячно спрямовували 39% сукупних витрат (у 2019р. – 40%)</w:t>
      </w:r>
      <w:r w:rsidRPr="001F4390">
        <w:rPr>
          <w:sz w:val="28"/>
          <w:lang w:val="ru-RU"/>
        </w:rPr>
        <w:t>.</w:t>
      </w:r>
      <w:r w:rsidRPr="001F4390">
        <w:rPr>
          <w:sz w:val="28"/>
        </w:rPr>
        <w:t xml:space="preserve"> Пересічне домогосподарство витрачало на утримання житла (включаючи поточний ремонт), воду, електроенергію, газ, інші види палива  –14% сукупних витрат, на оновлення гардеробу – 5%, на інші напрями споживання (на освіту, відпочинок і культуру, на придбання предметів домашнього вжитку, побутової техніки та поточне утримання житла, зв’язок, транспорт</w:t>
      </w:r>
      <w:r w:rsidR="006B349B" w:rsidRPr="001F4390">
        <w:rPr>
          <w:sz w:val="28"/>
          <w:lang w:val="ru-RU"/>
        </w:rPr>
        <w:t xml:space="preserve">, </w:t>
      </w:r>
      <w:r w:rsidR="006B349B" w:rsidRPr="001F4390">
        <w:rPr>
          <w:sz w:val="28"/>
        </w:rPr>
        <w:t>охорону здоров’я</w:t>
      </w:r>
      <w:r w:rsidRPr="001F4390">
        <w:rPr>
          <w:sz w:val="28"/>
        </w:rPr>
        <w:t xml:space="preserve"> тощо) – від 1% до 4% сукупних витрат. </w:t>
      </w:r>
    </w:p>
    <w:p w:rsidR="00634EFF" w:rsidRPr="001F4390" w:rsidRDefault="00BA772D" w:rsidP="00BA772D">
      <w:pPr>
        <w:pStyle w:val="a4"/>
        <w:ind w:firstLine="567"/>
        <w:jc w:val="both"/>
        <w:rPr>
          <w:sz w:val="28"/>
        </w:rPr>
      </w:pPr>
      <w:r w:rsidRPr="001F4390">
        <w:rPr>
          <w:sz w:val="28"/>
        </w:rPr>
        <w:t>Споживчі витрати на купівлю непродовольчих товарів та послуг міських домогосподарств в 1,</w:t>
      </w:r>
      <w:r w:rsidRPr="001F4390">
        <w:rPr>
          <w:sz w:val="28"/>
          <w:lang w:val="ru-RU"/>
        </w:rPr>
        <w:t>3</w:t>
      </w:r>
      <w:r w:rsidRPr="001F4390">
        <w:rPr>
          <w:sz w:val="28"/>
        </w:rPr>
        <w:t xml:space="preserve"> раза перевищували аналогічні витрати в сільських домогосподарствах, зокрема, на</w:t>
      </w:r>
      <w:r w:rsidRPr="001F4390">
        <w:rPr>
          <w:sz w:val="28"/>
          <w:lang w:val="ru-RU"/>
        </w:rPr>
        <w:t xml:space="preserve"> </w:t>
      </w:r>
      <w:r w:rsidRPr="001F4390">
        <w:rPr>
          <w:sz w:val="28"/>
        </w:rPr>
        <w:t>відпочинок і культуру, освіту,</w:t>
      </w:r>
      <w:r w:rsidR="00347A37" w:rsidRPr="001F4390">
        <w:rPr>
          <w:sz w:val="28"/>
          <w:lang w:val="ru-RU"/>
        </w:rPr>
        <w:t xml:space="preserve"> </w:t>
      </w:r>
      <w:r w:rsidR="00347A37" w:rsidRPr="001F4390">
        <w:rPr>
          <w:sz w:val="28"/>
        </w:rPr>
        <w:t>житло, воду, електроенергію, газ та інші види палива</w:t>
      </w:r>
      <w:r w:rsidR="00347A37" w:rsidRPr="001F4390">
        <w:rPr>
          <w:sz w:val="28"/>
          <w:lang w:val="ru-RU"/>
        </w:rPr>
        <w:t>,</w:t>
      </w:r>
      <w:r w:rsidRPr="001F4390">
        <w:rPr>
          <w:sz w:val="28"/>
        </w:rPr>
        <w:t xml:space="preserve"> </w:t>
      </w:r>
      <w:r w:rsidR="00347A37" w:rsidRPr="001F4390">
        <w:rPr>
          <w:sz w:val="28"/>
        </w:rPr>
        <w:t>зв’язок</w:t>
      </w:r>
      <w:r w:rsidR="00347A37" w:rsidRPr="001F4390">
        <w:rPr>
          <w:sz w:val="28"/>
          <w:lang w:val="ru-RU"/>
        </w:rPr>
        <w:t xml:space="preserve">  </w:t>
      </w:r>
      <w:r w:rsidR="00347A37" w:rsidRPr="001F4390">
        <w:rPr>
          <w:sz w:val="28"/>
        </w:rPr>
        <w:t>– в 3–1,</w:t>
      </w:r>
      <w:r w:rsidR="00347A37" w:rsidRPr="001F4390">
        <w:rPr>
          <w:sz w:val="28"/>
          <w:lang w:val="ru-RU"/>
        </w:rPr>
        <w:t>2</w:t>
      </w:r>
      <w:r w:rsidR="00347A37" w:rsidRPr="001F4390">
        <w:rPr>
          <w:sz w:val="28"/>
        </w:rPr>
        <w:t xml:space="preserve"> раз</w:t>
      </w:r>
      <w:r w:rsidR="00347A37" w:rsidRPr="001F4390">
        <w:rPr>
          <w:sz w:val="28"/>
          <w:lang w:val="ru-RU"/>
        </w:rPr>
        <w:t>а</w:t>
      </w:r>
      <w:r w:rsidRPr="001F4390">
        <w:rPr>
          <w:sz w:val="28"/>
        </w:rPr>
        <w:t xml:space="preserve">, на </w:t>
      </w:r>
      <w:r w:rsidR="00347A37" w:rsidRPr="001F4390">
        <w:rPr>
          <w:sz w:val="28"/>
        </w:rPr>
        <w:t>транспорт, охорону здоров'я</w:t>
      </w:r>
      <w:r w:rsidR="00347A37" w:rsidRPr="001F4390">
        <w:rPr>
          <w:sz w:val="28"/>
          <w:lang w:val="ru-RU"/>
        </w:rPr>
        <w:t xml:space="preserve"> </w:t>
      </w:r>
      <w:r w:rsidR="00347A37" w:rsidRPr="001F4390">
        <w:rPr>
          <w:sz w:val="28"/>
        </w:rPr>
        <w:t>(медикаменти та медичні послуги</w:t>
      </w:r>
      <w:r w:rsidR="00347A37" w:rsidRPr="001F4390">
        <w:rPr>
          <w:sz w:val="28"/>
          <w:lang w:val="ru-RU"/>
        </w:rPr>
        <w:t xml:space="preserve">), </w:t>
      </w:r>
      <w:r w:rsidRPr="001F4390">
        <w:rPr>
          <w:sz w:val="28"/>
        </w:rPr>
        <w:t>предмети домашнього вжитку, побутову техніку, поточне утримання житла</w:t>
      </w:r>
      <w:r w:rsidR="00347A37" w:rsidRPr="001F4390">
        <w:rPr>
          <w:sz w:val="28"/>
          <w:lang w:val="ru-RU"/>
        </w:rPr>
        <w:t>,</w:t>
      </w:r>
      <w:r w:rsidRPr="001F4390">
        <w:rPr>
          <w:sz w:val="28"/>
        </w:rPr>
        <w:t xml:space="preserve"> на придбання одягу та взуття  – відповідно на </w:t>
      </w:r>
      <w:r w:rsidR="00347A37" w:rsidRPr="001F4390">
        <w:rPr>
          <w:sz w:val="28"/>
          <w:lang w:val="ru-RU"/>
        </w:rPr>
        <w:t>13</w:t>
      </w:r>
      <w:r w:rsidR="00347A37" w:rsidRPr="001F4390">
        <w:rPr>
          <w:sz w:val="28"/>
        </w:rPr>
        <w:t>–</w:t>
      </w:r>
      <w:r w:rsidRPr="001F4390">
        <w:rPr>
          <w:sz w:val="28"/>
          <w:lang w:val="ru-RU"/>
        </w:rPr>
        <w:t>5</w:t>
      </w:r>
      <w:r w:rsidRPr="001F4390">
        <w:rPr>
          <w:sz w:val="28"/>
        </w:rPr>
        <w:t>%.</w:t>
      </w:r>
    </w:p>
    <w:p w:rsidR="00BA772D" w:rsidRPr="001F4390" w:rsidRDefault="00BA772D" w:rsidP="00BA772D">
      <w:pPr>
        <w:pStyle w:val="a4"/>
        <w:ind w:firstLine="567"/>
        <w:jc w:val="both"/>
        <w:rPr>
          <w:sz w:val="28"/>
        </w:rPr>
      </w:pPr>
      <w:r w:rsidRPr="001F4390">
        <w:rPr>
          <w:sz w:val="28"/>
        </w:rPr>
        <w:t>Домогосподарства з дітьми витрачали на купівлю непродовольчих товарів та отримання послуг 4</w:t>
      </w:r>
      <w:r w:rsidRPr="001F4390">
        <w:rPr>
          <w:sz w:val="28"/>
          <w:lang w:val="ru-RU"/>
        </w:rPr>
        <w:t>0</w:t>
      </w:r>
      <w:r w:rsidRPr="001F4390">
        <w:rPr>
          <w:sz w:val="28"/>
        </w:rPr>
        <w:t>% сукупних витрат, що на 3 в.п. більше, ніж у домогосподарствах без дітей. У середньому на освіту, відпочинок і культуру, оновлення гардеробу, на оплату послуг транспорту, зв’язку, на придбання предметів домашнього вжитку, побутової техніки та поточне утримання житла, на оплату житла (включаючи поточний ремонт), води, електроенергії, газу та інших видів палива</w:t>
      </w:r>
      <w:r w:rsidR="00A5005C" w:rsidRPr="001F4390">
        <w:rPr>
          <w:sz w:val="28"/>
          <w:lang w:val="ru-RU"/>
        </w:rPr>
        <w:t xml:space="preserve"> </w:t>
      </w:r>
      <w:r w:rsidRPr="001F4390">
        <w:rPr>
          <w:sz w:val="28"/>
        </w:rPr>
        <w:t>домогосподарства з дітьми витрачали в 6</w:t>
      </w:r>
      <w:r w:rsidRPr="001F4390">
        <w:rPr>
          <w:sz w:val="28"/>
          <w:lang w:val="ru-RU"/>
        </w:rPr>
        <w:t>–</w:t>
      </w:r>
      <w:r w:rsidRPr="001F4390">
        <w:rPr>
          <w:sz w:val="28"/>
        </w:rPr>
        <w:t>1,4 раза більше коштів, ніж домогосподарства без дітей.</w:t>
      </w:r>
    </w:p>
    <w:p w:rsidR="00BA772D" w:rsidRPr="001F4390" w:rsidRDefault="00BA772D" w:rsidP="00BA772D">
      <w:pPr>
        <w:pStyle w:val="a4"/>
        <w:ind w:firstLine="567"/>
        <w:jc w:val="both"/>
        <w:rPr>
          <w:sz w:val="28"/>
        </w:rPr>
      </w:pPr>
      <w:r w:rsidRPr="001F4390">
        <w:rPr>
          <w:sz w:val="28"/>
        </w:rPr>
        <w:t xml:space="preserve">Домогосподарства, у складі яких були молоді сім’ї, витрачали на оновлення гардеробу, створення побутових умов, на освіту, охорону здоров’я, відпочинок та культуру тощо 40% усіх сукупних витрат, що на 1,6 в.п. більше, ніж у пересічних домогосподарствах. Розмір таких споживчих витрат у цій групі перевищував середній по всіх домогосподарствах в 1,3 раза. </w:t>
      </w:r>
    </w:p>
    <w:p w:rsidR="005E4643" w:rsidRPr="001F4390" w:rsidRDefault="005E4643" w:rsidP="005E4643">
      <w:pPr>
        <w:pStyle w:val="a4"/>
        <w:ind w:firstLine="567"/>
        <w:jc w:val="both"/>
        <w:rPr>
          <w:sz w:val="28"/>
        </w:rPr>
      </w:pPr>
      <w:r w:rsidRPr="001F4390">
        <w:rPr>
          <w:sz w:val="28"/>
        </w:rPr>
        <w:t>Підсумки опитування домогосподарств стосовно наявності у них товарів тривалого користування, проведеного у жовтні 2020р</w:t>
      </w:r>
      <w:r w:rsidR="007320FB" w:rsidRPr="001F4390">
        <w:rPr>
          <w:sz w:val="28"/>
        </w:rPr>
        <w:t>.</w:t>
      </w:r>
      <w:r w:rsidRPr="001F4390">
        <w:rPr>
          <w:sz w:val="28"/>
        </w:rPr>
        <w:t xml:space="preserve">, засвідчили, що порівняно з даними аналогічного опитування, проведеного у жовтні 2018р., покращилася забезпеченість домогосподарств багатьма сучасними товарами тривалого користування (додаток </w:t>
      </w:r>
      <w:r w:rsidR="00D34BE3" w:rsidRPr="001F4390">
        <w:rPr>
          <w:sz w:val="28"/>
          <w:lang w:val="ru-RU"/>
        </w:rPr>
        <w:t>7</w:t>
      </w:r>
      <w:r w:rsidRPr="001F4390">
        <w:rPr>
          <w:sz w:val="28"/>
        </w:rPr>
        <w:t>)</w:t>
      </w:r>
      <w:r w:rsidR="00F853B1" w:rsidRPr="001F4390">
        <w:rPr>
          <w:sz w:val="28"/>
        </w:rPr>
        <w:t>. Н</w:t>
      </w:r>
      <w:r w:rsidRPr="001F4390">
        <w:rPr>
          <w:sz w:val="28"/>
        </w:rPr>
        <w:t xml:space="preserve">айбільш суттєво – морозильними камерами, морозильниками, мікрохвильовими печами, </w:t>
      </w:r>
      <w:proofErr w:type="spellStart"/>
      <w:r w:rsidRPr="001F4390">
        <w:rPr>
          <w:sz w:val="28"/>
        </w:rPr>
        <w:t>мультиварками</w:t>
      </w:r>
      <w:proofErr w:type="spellEnd"/>
      <w:r w:rsidRPr="001F4390">
        <w:rPr>
          <w:sz w:val="28"/>
        </w:rPr>
        <w:t>, кондиціонерами,</w:t>
      </w:r>
      <w:r w:rsidRPr="001F4390">
        <w:rPr>
          <w:sz w:val="28"/>
          <w:lang w:val="ru-RU"/>
        </w:rPr>
        <w:t xml:space="preserve"> велосипедами, </w:t>
      </w:r>
      <w:proofErr w:type="spellStart"/>
      <w:r w:rsidRPr="001F4390">
        <w:rPr>
          <w:sz w:val="28"/>
          <w:lang w:val="ru-RU"/>
        </w:rPr>
        <w:t>автомобілями</w:t>
      </w:r>
      <w:proofErr w:type="spellEnd"/>
      <w:r w:rsidRPr="001F4390">
        <w:rPr>
          <w:sz w:val="28"/>
          <w:lang w:val="ru-RU"/>
        </w:rPr>
        <w:t xml:space="preserve"> </w:t>
      </w:r>
      <w:r w:rsidRPr="001F4390">
        <w:rPr>
          <w:sz w:val="28"/>
        </w:rPr>
        <w:t xml:space="preserve">та планшетами (відповідно у 1,3–1,2 </w:t>
      </w:r>
      <w:proofErr w:type="spellStart"/>
      <w:r w:rsidRPr="001F4390">
        <w:rPr>
          <w:sz w:val="28"/>
        </w:rPr>
        <w:t>раза</w:t>
      </w:r>
      <w:proofErr w:type="spellEnd"/>
      <w:r w:rsidRPr="001F4390">
        <w:rPr>
          <w:sz w:val="28"/>
        </w:rPr>
        <w:t xml:space="preserve">). Холодильники, кольорові телевізори та пральні машини мали майже всі домогосподарства, електропилососи – 82%, мікрохвильові печі та </w:t>
      </w:r>
      <w:proofErr w:type="spellStart"/>
      <w:r w:rsidRPr="001F4390">
        <w:rPr>
          <w:sz w:val="28"/>
        </w:rPr>
        <w:t>мультиварки</w:t>
      </w:r>
      <w:proofErr w:type="spellEnd"/>
      <w:r w:rsidRPr="001F4390">
        <w:rPr>
          <w:sz w:val="28"/>
        </w:rPr>
        <w:t xml:space="preserve"> – більше половини домогосподарств, велосипеди – майже половина домогосподарств.</w:t>
      </w:r>
    </w:p>
    <w:p w:rsidR="005E4643" w:rsidRPr="001F4390" w:rsidRDefault="005E4643" w:rsidP="005E4643">
      <w:pPr>
        <w:ind w:firstLine="567"/>
        <w:jc w:val="both"/>
        <w:rPr>
          <w:sz w:val="28"/>
          <w:szCs w:val="28"/>
        </w:rPr>
      </w:pPr>
      <w:r w:rsidRPr="001F4390">
        <w:rPr>
          <w:sz w:val="28"/>
          <w:szCs w:val="28"/>
        </w:rPr>
        <w:t xml:space="preserve">Разом з тим частка міських домогосподарств, які мали такі сучасні товари, як кондиціонери, посудомийні машини, цифрові фотоапарати, ноутбуки та нетбуки, планшети, персональні комп'ютери та кухонні комбайни була </w:t>
      </w:r>
      <w:r w:rsidR="00F853B1" w:rsidRPr="001F4390">
        <w:rPr>
          <w:sz w:val="28"/>
          <w:szCs w:val="28"/>
        </w:rPr>
        <w:br/>
      </w:r>
      <w:r w:rsidRPr="001F4390">
        <w:rPr>
          <w:sz w:val="28"/>
          <w:szCs w:val="28"/>
        </w:rPr>
        <w:lastRenderedPageBreak/>
        <w:t>в 3–2 рази більше, ніж в сільських домогосподарствах. Натомість серед сільських домогосподарств були суттєво вищими (в 4–1,2 раза), ніж серед міських, частки домогосподарств, які мали моторолери, мопеди, скутери, мотоцикли, сноумобілі, супутникові антени</w:t>
      </w:r>
      <w:r w:rsidR="00D34BE3" w:rsidRPr="001F4390">
        <w:rPr>
          <w:sz w:val="28"/>
          <w:szCs w:val="28"/>
          <w:lang w:val="ru-RU"/>
        </w:rPr>
        <w:t xml:space="preserve"> (</w:t>
      </w:r>
      <w:proofErr w:type="spellStart"/>
      <w:r w:rsidR="00D34BE3" w:rsidRPr="001F4390">
        <w:rPr>
          <w:sz w:val="28"/>
          <w:szCs w:val="28"/>
          <w:lang w:val="ru-RU"/>
        </w:rPr>
        <w:t>додаток</w:t>
      </w:r>
      <w:proofErr w:type="spellEnd"/>
      <w:r w:rsidR="00D34BE3" w:rsidRPr="001F4390">
        <w:rPr>
          <w:sz w:val="28"/>
          <w:szCs w:val="28"/>
          <w:lang w:val="ru-RU"/>
        </w:rPr>
        <w:t xml:space="preserve"> 8).</w:t>
      </w:r>
      <w:r w:rsidRPr="001F4390">
        <w:rPr>
          <w:sz w:val="28"/>
          <w:szCs w:val="28"/>
        </w:rPr>
        <w:t xml:space="preserve"> </w:t>
      </w:r>
    </w:p>
    <w:p w:rsidR="005E4643" w:rsidRPr="001F4390" w:rsidRDefault="005E4643" w:rsidP="005E4643">
      <w:pPr>
        <w:pStyle w:val="a9"/>
        <w:ind w:firstLine="567"/>
        <w:rPr>
          <w:szCs w:val="28"/>
        </w:rPr>
      </w:pPr>
      <w:r w:rsidRPr="001F4390">
        <w:rPr>
          <w:szCs w:val="28"/>
        </w:rPr>
        <w:t>Домогосподарства з</w:t>
      </w:r>
      <w:r w:rsidR="00F853B1" w:rsidRPr="001F4390">
        <w:rPr>
          <w:szCs w:val="28"/>
        </w:rPr>
        <w:t xml:space="preserve"> дітьми були краще забезпечені в</w:t>
      </w:r>
      <w:r w:rsidRPr="001F4390">
        <w:rPr>
          <w:szCs w:val="28"/>
        </w:rPr>
        <w:t xml:space="preserve">сіма товарами тривалого користування, ніж домогосподарства без дітей. </w:t>
      </w:r>
    </w:p>
    <w:p w:rsidR="003D2C39" w:rsidRPr="001F4390" w:rsidRDefault="003D2C39" w:rsidP="00135EC5">
      <w:pPr>
        <w:pStyle w:val="a9"/>
        <w:tabs>
          <w:tab w:val="left" w:pos="5670"/>
        </w:tabs>
        <w:ind w:firstLine="567"/>
        <w:rPr>
          <w:szCs w:val="28"/>
        </w:rPr>
      </w:pPr>
      <w:r w:rsidRPr="001F4390">
        <w:rPr>
          <w:szCs w:val="28"/>
        </w:rPr>
        <w:t>За даними опитування, проведеного у жовтні 2020р., відбулися позитивні зрушення в оцінці населенням рівня доступності послуг охорони здоров’я та придбання товарів фармацевтичного ринку. Серед домогосподарств, у яких хто-небудь із осіб протягом останніх 12 місяців потребував медичної допомоги, придбання ліків та медичного приладдя, майже кожне п’яте повідомило щодо наявності випадків неможливості задовольнити свої потреби</w:t>
      </w:r>
      <w:r w:rsidR="00F853B1" w:rsidRPr="001F4390">
        <w:rPr>
          <w:szCs w:val="28"/>
        </w:rPr>
        <w:t>. П</w:t>
      </w:r>
      <w:r w:rsidRPr="001F4390">
        <w:rPr>
          <w:szCs w:val="28"/>
        </w:rPr>
        <w:t>орівняно з 2019р. цей показник зменшився в 1,3 раза.</w:t>
      </w:r>
    </w:p>
    <w:p w:rsidR="003D2C39" w:rsidRPr="001F4390" w:rsidRDefault="003D2C39" w:rsidP="003D2C39">
      <w:pPr>
        <w:ind w:firstLine="708"/>
        <w:jc w:val="both"/>
        <w:rPr>
          <w:sz w:val="28"/>
          <w:szCs w:val="28"/>
        </w:rPr>
      </w:pPr>
      <w:r w:rsidRPr="001F4390">
        <w:rPr>
          <w:sz w:val="28"/>
          <w:szCs w:val="28"/>
        </w:rPr>
        <w:t xml:space="preserve">Залишаються проблеми з доступністю послуг лікарів. </w:t>
      </w:r>
      <w:r w:rsidR="006C77AD" w:rsidRPr="001F4390">
        <w:rPr>
          <w:sz w:val="28"/>
          <w:szCs w:val="28"/>
        </w:rPr>
        <w:t>У третині</w:t>
      </w:r>
      <w:r w:rsidRPr="001F4390">
        <w:rPr>
          <w:sz w:val="28"/>
          <w:szCs w:val="28"/>
        </w:rPr>
        <w:t xml:space="preserve"> домогосподарств, у яких хто-небудь з осіб при потребі не отримав медичну допомогу (6% усіх домогосподарств), хворі не мали можливості відвідати лікаря (у сільській місцевості таких домогосподарств було 42%). У 57% таких випадків опитувані пояснили це високою вартістю послуг, у 26% – відсутністю медичного спеціаліста потрібного профілю (у сільській місцевості – 37%) та 12% – занадто довгою чергою.</w:t>
      </w:r>
    </w:p>
    <w:p w:rsidR="00BA772D" w:rsidRPr="001F4390" w:rsidRDefault="00BA772D" w:rsidP="00BA772D">
      <w:pPr>
        <w:pStyle w:val="a9"/>
        <w:tabs>
          <w:tab w:val="left" w:pos="5670"/>
        </w:tabs>
        <w:ind w:firstLine="567"/>
      </w:pPr>
      <w:bookmarkStart w:id="4" w:name="_Hlk81910934"/>
      <w:r w:rsidRPr="001F4390">
        <w:t xml:space="preserve">У структурі витрат </w:t>
      </w:r>
      <w:r w:rsidRPr="001F4390">
        <w:rPr>
          <w:b/>
        </w:rPr>
        <w:t>оплата житла, комунальних продуктів та послуг</w:t>
      </w:r>
      <w:r w:rsidRPr="001F4390">
        <w:t xml:space="preserve"> (з урахуванням суми безготівкових пільг та субсидій) становила 13% або </w:t>
      </w:r>
      <w:r w:rsidR="00F853B1" w:rsidRPr="001F4390">
        <w:br/>
      </w:r>
      <w:r w:rsidRPr="001F4390">
        <w:t>1225 грн на місяць, серед міських домогосподарств – 15% або 143</w:t>
      </w:r>
      <w:r w:rsidR="00F853B1" w:rsidRPr="001F4390">
        <w:t>0 грн, серед сільських – 9% або</w:t>
      </w:r>
      <w:r w:rsidRPr="001F4390">
        <w:t xml:space="preserve"> 797 грн</w:t>
      </w:r>
      <w:r w:rsidR="00F825D1" w:rsidRPr="001F4390">
        <w:t>.</w:t>
      </w:r>
      <w:r w:rsidRPr="001F4390">
        <w:t xml:space="preserve"> Розміри витрат домогосподарств на зазначені цілі зменшилися порівняно з 2019р. на 3%, у міських – на 1,3%, у сільських – на </w:t>
      </w:r>
      <w:r w:rsidR="00E1624F">
        <w:rPr>
          <w:lang w:val="ru-RU"/>
        </w:rPr>
        <w:t>7</w:t>
      </w:r>
      <w:r w:rsidRPr="001F4390">
        <w:t>%.</w:t>
      </w:r>
    </w:p>
    <w:p w:rsidR="00BA772D" w:rsidRPr="001F4390" w:rsidRDefault="00BA772D" w:rsidP="00BA772D">
      <w:pPr>
        <w:pStyle w:val="a4"/>
        <w:ind w:firstLine="567"/>
        <w:jc w:val="both"/>
        <w:rPr>
          <w:sz w:val="28"/>
        </w:rPr>
      </w:pPr>
      <w:r w:rsidRPr="001F4390">
        <w:rPr>
          <w:sz w:val="28"/>
        </w:rPr>
        <w:t>Розмір отриманих пільг та субсидій (готівкових та безготівкових) на оплату житла, комунальних продуктів та послуг у розрахунку на пересічне домогосподарство становив 111 грн у місяць</w:t>
      </w:r>
      <w:r w:rsidR="00326C79" w:rsidRPr="001F4390">
        <w:rPr>
          <w:sz w:val="28"/>
        </w:rPr>
        <w:t xml:space="preserve"> </w:t>
      </w:r>
      <w:r w:rsidRPr="001F4390">
        <w:rPr>
          <w:sz w:val="28"/>
        </w:rPr>
        <w:t>або 9% витрат на оплату житла, комунальних продуктів та послуг (у 2019р. – 172 грн (14%)), у тому числі серед міських домогосподарств – 107 грн (7%), сільських – 119 грн (15%).</w:t>
      </w:r>
    </w:p>
    <w:p w:rsidR="00BA772D" w:rsidRPr="001F4390" w:rsidRDefault="00BA772D" w:rsidP="00BA772D">
      <w:pPr>
        <w:pStyle w:val="a4"/>
        <w:ind w:firstLine="567"/>
        <w:jc w:val="both"/>
        <w:rPr>
          <w:sz w:val="28"/>
        </w:rPr>
      </w:pPr>
      <w:r w:rsidRPr="001F4390">
        <w:rPr>
          <w:sz w:val="28"/>
        </w:rPr>
        <w:t xml:space="preserve">Домогосподарства з дітьми витрачали щомісяця на оплату житла, комунальних продуктів та послуг (з урахуванням суми безготівкових пільг та субсидій) у середньому 1483 грн, без дітей – 1069 грн. Суми пільг та субсидій (готівкових та безготівкових), отриманих пересічними домогосподарствами цих груп на такі цілі, становили відповідно </w:t>
      </w:r>
      <w:r w:rsidRPr="001F4390">
        <w:rPr>
          <w:sz w:val="28"/>
          <w:lang w:val="ru-RU"/>
        </w:rPr>
        <w:t>76</w:t>
      </w:r>
      <w:r w:rsidRPr="001F4390">
        <w:rPr>
          <w:sz w:val="28"/>
        </w:rPr>
        <w:t xml:space="preserve"> грн</w:t>
      </w:r>
      <w:r w:rsidRPr="001F4390">
        <w:rPr>
          <w:sz w:val="28"/>
          <w:lang w:val="ru-RU"/>
        </w:rPr>
        <w:t xml:space="preserve"> </w:t>
      </w:r>
      <w:r w:rsidRPr="001F4390">
        <w:rPr>
          <w:sz w:val="28"/>
        </w:rPr>
        <w:t>(</w:t>
      </w:r>
      <w:r w:rsidRPr="001F4390">
        <w:rPr>
          <w:sz w:val="28"/>
          <w:lang w:val="ru-RU"/>
        </w:rPr>
        <w:t>5</w:t>
      </w:r>
      <w:r w:rsidRPr="001F4390">
        <w:rPr>
          <w:sz w:val="28"/>
        </w:rPr>
        <w:t>% витрат на оплату житла, комунальних продуктів та послуг) та 1</w:t>
      </w:r>
      <w:r w:rsidRPr="001F4390">
        <w:rPr>
          <w:sz w:val="28"/>
          <w:lang w:val="ru-RU"/>
        </w:rPr>
        <w:t>32</w:t>
      </w:r>
      <w:r w:rsidRPr="001F4390">
        <w:rPr>
          <w:sz w:val="28"/>
        </w:rPr>
        <w:t xml:space="preserve"> грн</w:t>
      </w:r>
      <w:r w:rsidRPr="001F4390">
        <w:rPr>
          <w:sz w:val="28"/>
          <w:lang w:val="ru-RU"/>
        </w:rPr>
        <w:t xml:space="preserve"> </w:t>
      </w:r>
      <w:r w:rsidRPr="001F4390">
        <w:rPr>
          <w:sz w:val="28"/>
        </w:rPr>
        <w:t>(1</w:t>
      </w:r>
      <w:r w:rsidRPr="001F4390">
        <w:rPr>
          <w:sz w:val="28"/>
          <w:lang w:val="ru-RU"/>
        </w:rPr>
        <w:t>2</w:t>
      </w:r>
      <w:r w:rsidRPr="001F4390">
        <w:rPr>
          <w:sz w:val="28"/>
        </w:rPr>
        <w:t xml:space="preserve">%), що відповідно в </w:t>
      </w:r>
      <w:r w:rsidRPr="001F4390">
        <w:rPr>
          <w:sz w:val="28"/>
          <w:lang w:val="ru-RU"/>
        </w:rPr>
        <w:t>1,7</w:t>
      </w:r>
      <w:r w:rsidRPr="001F4390">
        <w:rPr>
          <w:sz w:val="28"/>
        </w:rPr>
        <w:t xml:space="preserve"> та </w:t>
      </w:r>
      <w:r w:rsidR="00F853B1" w:rsidRPr="001F4390">
        <w:rPr>
          <w:sz w:val="28"/>
        </w:rPr>
        <w:br/>
      </w:r>
      <w:r w:rsidRPr="001F4390">
        <w:rPr>
          <w:sz w:val="28"/>
        </w:rPr>
        <w:t>1,5 раза менше, ніж у 201</w:t>
      </w:r>
      <w:r w:rsidRPr="001F4390">
        <w:rPr>
          <w:sz w:val="28"/>
          <w:lang w:val="ru-RU"/>
        </w:rPr>
        <w:t>9</w:t>
      </w:r>
      <w:r w:rsidRPr="001F4390">
        <w:rPr>
          <w:sz w:val="28"/>
        </w:rPr>
        <w:t>р.</w:t>
      </w:r>
    </w:p>
    <w:bookmarkEnd w:id="4"/>
    <w:p w:rsidR="003D2C39" w:rsidRPr="001F4390" w:rsidRDefault="003D2C39" w:rsidP="003D2C39">
      <w:pPr>
        <w:ind w:firstLine="708"/>
        <w:jc w:val="both"/>
        <w:rPr>
          <w:sz w:val="28"/>
          <w:szCs w:val="28"/>
        </w:rPr>
      </w:pPr>
      <w:r w:rsidRPr="001F4390">
        <w:rPr>
          <w:sz w:val="28"/>
          <w:szCs w:val="28"/>
        </w:rPr>
        <w:t>За даними опитування,</w:t>
      </w:r>
      <w:r w:rsidR="00326C79" w:rsidRPr="001F4390">
        <w:rPr>
          <w:sz w:val="28"/>
          <w:szCs w:val="28"/>
        </w:rPr>
        <w:t xml:space="preserve"> </w:t>
      </w:r>
      <w:r w:rsidRPr="001F4390">
        <w:rPr>
          <w:sz w:val="28"/>
          <w:szCs w:val="28"/>
        </w:rPr>
        <w:t>суттєва частка домогосподарств забезпечена житловою площею недостатньою мірою. Житлова площа 35% домогосподарств нижче санітарної норми (13,65 м</w:t>
      </w:r>
      <w:r w:rsidRPr="001F4390">
        <w:rPr>
          <w:sz w:val="28"/>
          <w:szCs w:val="28"/>
          <w:vertAlign w:val="superscript"/>
        </w:rPr>
        <w:t>2</w:t>
      </w:r>
      <w:r w:rsidRPr="001F4390">
        <w:rPr>
          <w:sz w:val="28"/>
          <w:szCs w:val="28"/>
        </w:rPr>
        <w:t xml:space="preserve"> на одну особу), у великих містах – 46%, </w:t>
      </w:r>
      <w:r w:rsidR="00F853B1" w:rsidRPr="001F4390">
        <w:rPr>
          <w:sz w:val="28"/>
          <w:szCs w:val="28"/>
        </w:rPr>
        <w:br/>
      </w:r>
      <w:r w:rsidRPr="001F4390">
        <w:rPr>
          <w:sz w:val="28"/>
          <w:szCs w:val="28"/>
        </w:rPr>
        <w:t>у малих – 31%, у сільській місцевості – 27% домогосподарств. Зокрема, житлова площа</w:t>
      </w:r>
      <w:r w:rsidR="00FF2020" w:rsidRPr="001F4390">
        <w:rPr>
          <w:sz w:val="28"/>
          <w:szCs w:val="28"/>
        </w:rPr>
        <w:t xml:space="preserve"> майже</w:t>
      </w:r>
      <w:r w:rsidRPr="001F4390">
        <w:rPr>
          <w:sz w:val="28"/>
          <w:szCs w:val="28"/>
        </w:rPr>
        <w:t xml:space="preserve"> кожного четвертого домогосподарства становить </w:t>
      </w:r>
      <w:r w:rsidR="00F853B1" w:rsidRPr="001F4390">
        <w:rPr>
          <w:sz w:val="28"/>
          <w:szCs w:val="28"/>
        </w:rPr>
        <w:br/>
      </w:r>
      <w:r w:rsidRPr="001F4390">
        <w:rPr>
          <w:sz w:val="28"/>
          <w:szCs w:val="28"/>
        </w:rPr>
        <w:t>від 9,01 м</w:t>
      </w:r>
      <w:r w:rsidRPr="001F4390">
        <w:rPr>
          <w:sz w:val="28"/>
          <w:szCs w:val="28"/>
          <w:vertAlign w:val="superscript"/>
        </w:rPr>
        <w:t>2</w:t>
      </w:r>
      <w:r w:rsidRPr="001F4390">
        <w:rPr>
          <w:sz w:val="28"/>
          <w:szCs w:val="28"/>
        </w:rPr>
        <w:t xml:space="preserve"> до 13,65 м</w:t>
      </w:r>
      <w:r w:rsidRPr="001F4390">
        <w:rPr>
          <w:sz w:val="28"/>
          <w:szCs w:val="28"/>
          <w:vertAlign w:val="superscript"/>
        </w:rPr>
        <w:t>2</w:t>
      </w:r>
      <w:r w:rsidRPr="001F4390">
        <w:rPr>
          <w:sz w:val="28"/>
          <w:szCs w:val="28"/>
        </w:rPr>
        <w:t xml:space="preserve"> на одну особу, 7% домогосподарств – менше 7,5 м</w:t>
      </w:r>
      <w:r w:rsidRPr="001F4390">
        <w:rPr>
          <w:sz w:val="28"/>
          <w:szCs w:val="28"/>
          <w:vertAlign w:val="superscript"/>
        </w:rPr>
        <w:t>2</w:t>
      </w:r>
      <w:r w:rsidRPr="001F4390">
        <w:rPr>
          <w:sz w:val="28"/>
          <w:szCs w:val="28"/>
        </w:rPr>
        <w:t xml:space="preserve">, </w:t>
      </w:r>
      <w:r w:rsidR="00F853B1" w:rsidRPr="001F4390">
        <w:rPr>
          <w:sz w:val="28"/>
          <w:szCs w:val="28"/>
        </w:rPr>
        <w:br/>
      </w:r>
      <w:r w:rsidRPr="001F4390">
        <w:rPr>
          <w:sz w:val="28"/>
          <w:szCs w:val="28"/>
        </w:rPr>
        <w:lastRenderedPageBreak/>
        <w:t>5% домогосподарств</w:t>
      </w:r>
      <w:r w:rsidR="00D71490" w:rsidRPr="001F4390">
        <w:rPr>
          <w:sz w:val="28"/>
          <w:szCs w:val="28"/>
        </w:rPr>
        <w:t xml:space="preserve"> –</w:t>
      </w:r>
      <w:r w:rsidRPr="001F4390">
        <w:rPr>
          <w:sz w:val="28"/>
          <w:szCs w:val="28"/>
        </w:rPr>
        <w:t xml:space="preserve"> від 7,5 м</w:t>
      </w:r>
      <w:r w:rsidRPr="001F4390">
        <w:rPr>
          <w:sz w:val="28"/>
          <w:szCs w:val="28"/>
          <w:vertAlign w:val="superscript"/>
        </w:rPr>
        <w:t>2</w:t>
      </w:r>
      <w:r w:rsidRPr="001F4390">
        <w:rPr>
          <w:sz w:val="28"/>
          <w:szCs w:val="28"/>
        </w:rPr>
        <w:t xml:space="preserve"> до 9 м</w:t>
      </w:r>
      <w:r w:rsidRPr="001F4390">
        <w:rPr>
          <w:sz w:val="28"/>
          <w:szCs w:val="28"/>
          <w:vertAlign w:val="superscript"/>
        </w:rPr>
        <w:t>2</w:t>
      </w:r>
      <w:r w:rsidRPr="001F4390">
        <w:rPr>
          <w:sz w:val="28"/>
          <w:szCs w:val="28"/>
        </w:rPr>
        <w:t>. Майже кожна друга особа проживала у перенаселеному житлі</w:t>
      </w:r>
      <w:r w:rsidRPr="001F4390">
        <w:rPr>
          <w:sz w:val="28"/>
          <w:szCs w:val="28"/>
          <w:vertAlign w:val="superscript"/>
        </w:rPr>
        <w:footnoteReference w:id="3"/>
      </w:r>
      <w:r w:rsidRPr="001F4390">
        <w:rPr>
          <w:sz w:val="28"/>
          <w:szCs w:val="28"/>
        </w:rPr>
        <w:t>, а серед дітей до 18 років – 70%.</w:t>
      </w:r>
    </w:p>
    <w:p w:rsidR="003D2C39" w:rsidRPr="001F4390" w:rsidRDefault="003D2C39" w:rsidP="003D2C39">
      <w:pPr>
        <w:ind w:firstLine="708"/>
        <w:jc w:val="both"/>
        <w:rPr>
          <w:sz w:val="28"/>
          <w:szCs w:val="28"/>
        </w:rPr>
      </w:pPr>
      <w:r w:rsidRPr="001F4390">
        <w:rPr>
          <w:sz w:val="28"/>
          <w:szCs w:val="28"/>
        </w:rPr>
        <w:t>Задоволені в цілому або дуже задоволені своїми житловими умовами – 60% домогосподарств (у 2019р. – 55%)</w:t>
      </w:r>
      <w:r w:rsidR="00F853B1" w:rsidRPr="001F4390">
        <w:rPr>
          <w:sz w:val="28"/>
          <w:szCs w:val="28"/>
        </w:rPr>
        <w:t>,</w:t>
      </w:r>
      <w:r w:rsidRPr="001F4390">
        <w:rPr>
          <w:sz w:val="28"/>
          <w:szCs w:val="28"/>
        </w:rPr>
        <w:t xml:space="preserve"> зокрема, у великих містах – 67% (62%), у малих містах – 59% (56%), у сільській місцевості – 51% (46%). </w:t>
      </w:r>
    </w:p>
    <w:p w:rsidR="003D2C39" w:rsidRPr="001F4390" w:rsidRDefault="003D2C39" w:rsidP="003D2C39">
      <w:pPr>
        <w:ind w:firstLine="708"/>
        <w:jc w:val="both"/>
        <w:rPr>
          <w:sz w:val="28"/>
          <w:szCs w:val="28"/>
        </w:rPr>
      </w:pPr>
      <w:r w:rsidRPr="001F4390">
        <w:rPr>
          <w:sz w:val="28"/>
          <w:szCs w:val="28"/>
        </w:rPr>
        <w:t>У цілому по країні 13% домогосподарств (11% у містах та майже кожне п’яте у сільській місцевості) незадоволені або дуже незадоволені своїми житловими умовами. Не дуже задоволені своїм житлом 27% домогосподарств.</w:t>
      </w:r>
    </w:p>
    <w:p w:rsidR="00236194" w:rsidRPr="001F4390" w:rsidRDefault="00236194" w:rsidP="00236194">
      <w:pPr>
        <w:pStyle w:val="a4"/>
        <w:ind w:firstLine="567"/>
        <w:jc w:val="both"/>
        <w:rPr>
          <w:sz w:val="28"/>
        </w:rPr>
      </w:pPr>
      <w:r w:rsidRPr="001F4390">
        <w:rPr>
          <w:sz w:val="28"/>
        </w:rPr>
        <w:t>Підсумки опитування домогосподарств, проведеного у січні 2021р., засвідчили, що с</w:t>
      </w:r>
      <w:r w:rsidRPr="001F4390">
        <w:rPr>
          <w:sz w:val="28"/>
          <w:szCs w:val="28"/>
        </w:rPr>
        <w:t xml:space="preserve">учасні </w:t>
      </w:r>
      <w:r w:rsidRPr="001F4390">
        <w:rPr>
          <w:b/>
          <w:sz w:val="28"/>
          <w:szCs w:val="28"/>
        </w:rPr>
        <w:t>інформаційно-комунікаційні технології</w:t>
      </w:r>
      <w:r w:rsidRPr="001F4390">
        <w:rPr>
          <w:sz w:val="28"/>
          <w:szCs w:val="28"/>
        </w:rPr>
        <w:t xml:space="preserve">, зокрема </w:t>
      </w:r>
      <w:r w:rsidRPr="001F4390">
        <w:rPr>
          <w:b/>
          <w:sz w:val="28"/>
          <w:szCs w:val="28"/>
        </w:rPr>
        <w:t>Інтернет</w:t>
      </w:r>
      <w:r w:rsidRPr="001F4390">
        <w:rPr>
          <w:sz w:val="28"/>
          <w:szCs w:val="28"/>
        </w:rPr>
        <w:t xml:space="preserve">, стають більш доступними та набувають усе більшого поширення серед населення </w:t>
      </w:r>
      <w:r w:rsidRPr="001F4390">
        <w:rPr>
          <w:sz w:val="28"/>
        </w:rPr>
        <w:t xml:space="preserve">(додаток </w:t>
      </w:r>
      <w:r w:rsidR="00D34BE3" w:rsidRPr="001F4390">
        <w:rPr>
          <w:sz w:val="28"/>
        </w:rPr>
        <w:t>9</w:t>
      </w:r>
      <w:r w:rsidRPr="001F4390">
        <w:rPr>
          <w:sz w:val="28"/>
        </w:rPr>
        <w:t>)</w:t>
      </w:r>
      <w:r w:rsidRPr="001F4390">
        <w:rPr>
          <w:sz w:val="28"/>
          <w:szCs w:val="28"/>
        </w:rPr>
        <w:t>. За п</w:t>
      </w:r>
      <w:r w:rsidRPr="001F4390">
        <w:rPr>
          <w:sz w:val="28"/>
        </w:rPr>
        <w:t xml:space="preserve">ідсумками опитування частка осіб, які повідомили, що користувалися послугами Інтернету, становила 76% (у 2019р. – </w:t>
      </w:r>
      <w:r w:rsidRPr="001F4390">
        <w:rPr>
          <w:sz w:val="28"/>
          <w:lang w:val="ru-RU"/>
        </w:rPr>
        <w:t>70</w:t>
      </w:r>
      <w:r w:rsidRPr="001F4390">
        <w:rPr>
          <w:sz w:val="28"/>
        </w:rPr>
        <w:t xml:space="preserve">%), серед мешканців великих міст таких осіб було </w:t>
      </w:r>
      <w:r w:rsidRPr="001F4390">
        <w:rPr>
          <w:sz w:val="28"/>
          <w:lang w:val="ru-RU"/>
        </w:rPr>
        <w:t>83%</w:t>
      </w:r>
      <w:r w:rsidRPr="001F4390">
        <w:rPr>
          <w:sz w:val="28"/>
        </w:rPr>
        <w:t xml:space="preserve"> (</w:t>
      </w:r>
      <w:r w:rsidRPr="001F4390">
        <w:rPr>
          <w:sz w:val="28"/>
          <w:lang w:val="ru-RU"/>
        </w:rPr>
        <w:t>80</w:t>
      </w:r>
      <w:r w:rsidRPr="001F4390">
        <w:rPr>
          <w:sz w:val="28"/>
        </w:rPr>
        <w:t>%), малих</w:t>
      </w:r>
      <w:r w:rsidR="00F853B1" w:rsidRPr="001F4390">
        <w:rPr>
          <w:sz w:val="28"/>
        </w:rPr>
        <w:t xml:space="preserve"> міст</w:t>
      </w:r>
      <w:r w:rsidRPr="001F4390">
        <w:rPr>
          <w:sz w:val="28"/>
        </w:rPr>
        <w:t xml:space="preserve"> – 78</w:t>
      </w:r>
      <w:r w:rsidRPr="001F4390">
        <w:rPr>
          <w:sz w:val="28"/>
          <w:lang w:val="ru-RU"/>
        </w:rPr>
        <w:t>%</w:t>
      </w:r>
      <w:r w:rsidRPr="001F4390">
        <w:rPr>
          <w:sz w:val="28"/>
        </w:rPr>
        <w:t xml:space="preserve"> (74</w:t>
      </w:r>
      <w:r w:rsidRPr="001F4390">
        <w:rPr>
          <w:sz w:val="28"/>
          <w:lang w:val="ru-RU"/>
        </w:rPr>
        <w:t>%</w:t>
      </w:r>
      <w:r w:rsidRPr="001F4390">
        <w:rPr>
          <w:sz w:val="28"/>
        </w:rPr>
        <w:t xml:space="preserve">). </w:t>
      </w:r>
      <w:r w:rsidR="00F853B1" w:rsidRPr="001F4390">
        <w:rPr>
          <w:sz w:val="28"/>
        </w:rPr>
        <w:t>У</w:t>
      </w:r>
      <w:r w:rsidRPr="001F4390">
        <w:rPr>
          <w:sz w:val="28"/>
        </w:rPr>
        <w:t xml:space="preserve"> сільській місцевості частка осіб, яка повідомила, що користувалася Інтернетом, порівняно з 2019р. зросла з 56% до </w:t>
      </w:r>
      <w:r w:rsidRPr="001F4390">
        <w:rPr>
          <w:sz w:val="28"/>
          <w:lang w:val="ru-RU"/>
        </w:rPr>
        <w:t>64</w:t>
      </w:r>
      <w:r w:rsidRPr="001F4390">
        <w:rPr>
          <w:sz w:val="28"/>
        </w:rPr>
        <w:t xml:space="preserve">%. У домогосподарствах з дітьми </w:t>
      </w:r>
      <w:r w:rsidRPr="001F4390">
        <w:rPr>
          <w:sz w:val="28"/>
          <w:lang w:val="ru-RU"/>
        </w:rPr>
        <w:t>85</w:t>
      </w:r>
      <w:r w:rsidRPr="001F4390">
        <w:rPr>
          <w:sz w:val="28"/>
        </w:rPr>
        <w:t xml:space="preserve">% осіб користувалися Інтернетом (у 2019р. – 79%), без дітей – 65% (60%). Частка домогосподарств, які мають доступ до послуг Інтернету вдома, збільшилася з 66% до </w:t>
      </w:r>
      <w:r w:rsidRPr="001F4390">
        <w:rPr>
          <w:sz w:val="28"/>
          <w:lang w:val="ru-RU"/>
        </w:rPr>
        <w:t>79%</w:t>
      </w:r>
      <w:r w:rsidRPr="001F4390">
        <w:rPr>
          <w:sz w:val="28"/>
        </w:rPr>
        <w:t xml:space="preserve">. Частка дітей у віці до </w:t>
      </w:r>
      <w:r w:rsidR="00F853B1" w:rsidRPr="001F4390">
        <w:rPr>
          <w:sz w:val="28"/>
        </w:rPr>
        <w:br/>
      </w:r>
      <w:r w:rsidRPr="001F4390">
        <w:rPr>
          <w:sz w:val="28"/>
        </w:rPr>
        <w:t xml:space="preserve">18 років, які користувалися Інтернетом, становила 76% (у 2019р. – </w:t>
      </w:r>
      <w:r w:rsidRPr="001F4390">
        <w:rPr>
          <w:sz w:val="28"/>
          <w:lang w:val="ru-RU"/>
        </w:rPr>
        <w:t>73</w:t>
      </w:r>
      <w:r w:rsidRPr="001F4390">
        <w:rPr>
          <w:sz w:val="28"/>
        </w:rPr>
        <w:t>%).</w:t>
      </w:r>
    </w:p>
    <w:p w:rsidR="00236194" w:rsidRPr="001F4390" w:rsidRDefault="00236194" w:rsidP="00236194">
      <w:pPr>
        <w:tabs>
          <w:tab w:val="left" w:pos="5670"/>
        </w:tabs>
        <w:ind w:firstLine="567"/>
        <w:jc w:val="both"/>
        <w:rPr>
          <w:sz w:val="28"/>
          <w:szCs w:val="28"/>
        </w:rPr>
      </w:pPr>
      <w:r w:rsidRPr="001F4390">
        <w:rPr>
          <w:sz w:val="28"/>
          <w:szCs w:val="28"/>
        </w:rPr>
        <w:t>Серед користувачів Інтернетом повідомили, що користувалися послугами всесвітньої мережі не менше ніж раз на день, 85% осіб; не менше ніж раз на тиждень, але не кожен день – 1</w:t>
      </w:r>
      <w:r w:rsidR="00A26B73" w:rsidRPr="001F4390">
        <w:rPr>
          <w:sz w:val="28"/>
          <w:szCs w:val="28"/>
        </w:rPr>
        <w:t>3</w:t>
      </w:r>
      <w:r w:rsidRPr="001F4390">
        <w:rPr>
          <w:sz w:val="28"/>
          <w:szCs w:val="28"/>
        </w:rPr>
        <w:t>%; менше ніж раз на тиждень – 2%.</w:t>
      </w:r>
    </w:p>
    <w:p w:rsidR="00236194" w:rsidRPr="001F4390" w:rsidRDefault="00236194" w:rsidP="00236194">
      <w:pPr>
        <w:pStyle w:val="a4"/>
        <w:ind w:firstLine="567"/>
        <w:jc w:val="both"/>
        <w:rPr>
          <w:sz w:val="28"/>
        </w:rPr>
      </w:pPr>
      <w:r w:rsidRPr="001F4390">
        <w:rPr>
          <w:sz w:val="28"/>
        </w:rPr>
        <w:t xml:space="preserve">З числа користувачів 86% повідомили, що користувалися Інтернетом вдома, 79% – у будь-якому місці через мобільний телефон або смартфон, 18% – на роботі, 10% – за місцем навчання, 8% – в інших місцях (у друзів, знайомих), 0,7% – у будь-якому місці через інший пристрій мобільного доступу, 0,4% – у громадському центрі доступу до Інтернету та 0,1% – у комерційному центрі доступу до Інтернету. </w:t>
      </w:r>
    </w:p>
    <w:p w:rsidR="00236194" w:rsidRPr="001F4390" w:rsidRDefault="00236194" w:rsidP="00236194">
      <w:pPr>
        <w:pStyle w:val="a4"/>
        <w:ind w:firstLine="567"/>
        <w:jc w:val="both"/>
        <w:rPr>
          <w:sz w:val="28"/>
        </w:rPr>
      </w:pPr>
      <w:r w:rsidRPr="001F4390">
        <w:rPr>
          <w:sz w:val="28"/>
        </w:rPr>
        <w:t>Населення користувалося послугами Інтернету з різними цілями. Найбільш поширеними серед користувачів послугами Інтернету</w:t>
      </w:r>
      <w:r w:rsidR="00C62959" w:rsidRPr="001F4390">
        <w:rPr>
          <w:sz w:val="28"/>
        </w:rPr>
        <w:t xml:space="preserve"> </w:t>
      </w:r>
      <w:r w:rsidRPr="001F4390">
        <w:rPr>
          <w:sz w:val="28"/>
        </w:rPr>
        <w:t>бул</w:t>
      </w:r>
      <w:r w:rsidR="006E2C0B" w:rsidRPr="001F4390">
        <w:rPr>
          <w:sz w:val="28"/>
        </w:rPr>
        <w:t>и</w:t>
      </w:r>
      <w:r w:rsidRPr="001F4390">
        <w:rPr>
          <w:sz w:val="28"/>
        </w:rPr>
        <w:t xml:space="preserve"> скачування фільмів, зображень, музики, перегляду телебачення чи відео; прослуховування радіо чи музики; гра у відео- чи комп’ютерні ігри або їх скачування – 72%, 59% вказали, що метою використання Інтернету було спілкування, 36% – банківське обслуговування, 34% – телефонні переговори через Інтернет, 33% – відправлення (отримання) електронної пошти, 28% – пошук інформації щодо питань здоров’я як для себе, так і для інших, 21% – замовлення (купівля) товарів та послуг, 20% – читання або скачування періодичних видань у режимі </w:t>
      </w:r>
      <w:r w:rsidRPr="001F4390">
        <w:rPr>
          <w:sz w:val="28"/>
        </w:rPr>
        <w:lastRenderedPageBreak/>
        <w:t>он-лайн</w:t>
      </w:r>
      <w:bookmarkStart w:id="5" w:name="_Hlk50980729"/>
      <w:r w:rsidRPr="001F4390">
        <w:rPr>
          <w:sz w:val="28"/>
        </w:rPr>
        <w:t xml:space="preserve">. </w:t>
      </w:r>
      <w:bookmarkStart w:id="6" w:name="_Hlk50980710"/>
      <w:r w:rsidRPr="001F4390">
        <w:rPr>
          <w:sz w:val="28"/>
        </w:rPr>
        <w:t>Порівняно з 2019р. в 1,7 раза збільшилася частка користувачів, які використовують Інтернет з метою банківського обслуговування</w:t>
      </w:r>
      <w:bookmarkEnd w:id="6"/>
      <w:r w:rsidRPr="001F4390">
        <w:rPr>
          <w:sz w:val="28"/>
        </w:rPr>
        <w:t xml:space="preserve"> (додаток 1</w:t>
      </w:r>
      <w:r w:rsidR="0094638A" w:rsidRPr="001F4390">
        <w:rPr>
          <w:sz w:val="28"/>
          <w:lang w:val="ru-RU"/>
        </w:rPr>
        <w:t>0</w:t>
      </w:r>
      <w:r w:rsidRPr="001F4390">
        <w:rPr>
          <w:sz w:val="28"/>
        </w:rPr>
        <w:t>).</w:t>
      </w:r>
    </w:p>
    <w:bookmarkEnd w:id="5"/>
    <w:p w:rsidR="00236194" w:rsidRPr="001F4390" w:rsidRDefault="00236194" w:rsidP="00236194">
      <w:pPr>
        <w:jc w:val="center"/>
        <w:rPr>
          <w:sz w:val="10"/>
          <w:szCs w:val="10"/>
        </w:rPr>
      </w:pPr>
    </w:p>
    <w:p w:rsidR="00236194" w:rsidRPr="001F4390" w:rsidRDefault="00236194" w:rsidP="008C7C7F">
      <w:pPr>
        <w:spacing w:before="120"/>
        <w:jc w:val="center"/>
        <w:rPr>
          <w:b/>
          <w:sz w:val="24"/>
          <w:szCs w:val="24"/>
        </w:rPr>
      </w:pPr>
      <w:r w:rsidRPr="001F4390">
        <w:rPr>
          <w:b/>
          <w:sz w:val="24"/>
          <w:szCs w:val="24"/>
        </w:rPr>
        <w:t xml:space="preserve">Розподіл користувачів послугами Інтернету за метою користування </w:t>
      </w:r>
    </w:p>
    <w:p w:rsidR="00236194" w:rsidRPr="001F4390" w:rsidRDefault="00236194" w:rsidP="00236194">
      <w:pPr>
        <w:jc w:val="center"/>
      </w:pPr>
      <w:r w:rsidRPr="001F4390">
        <w:t>(у % до населення, яке повідомило, що користувалося послугами Інтернету)</w:t>
      </w:r>
    </w:p>
    <w:p w:rsidR="00236194" w:rsidRPr="001F4390" w:rsidRDefault="00236194" w:rsidP="00236194">
      <w:pPr>
        <w:jc w:val="center"/>
        <w:rPr>
          <w:noProof/>
          <w:sz w:val="10"/>
          <w:szCs w:val="10"/>
          <w:lang w:eastAsia="uk-UA"/>
        </w:rPr>
      </w:pPr>
    </w:p>
    <w:p w:rsidR="00236194" w:rsidRPr="001F4390" w:rsidRDefault="00236194" w:rsidP="00236194">
      <w:pPr>
        <w:ind w:firstLine="567"/>
        <w:jc w:val="both"/>
        <w:rPr>
          <w:sz w:val="28"/>
        </w:rPr>
      </w:pPr>
      <w:r w:rsidRPr="001F4390">
        <w:rPr>
          <w:noProof/>
          <w:sz w:val="28"/>
          <w:lang w:eastAsia="uk-UA"/>
        </w:rPr>
        <w:drawing>
          <wp:inline distT="0" distB="0" distL="0" distR="0" wp14:anchorId="6459CEE5" wp14:editId="6463248B">
            <wp:extent cx="5867400" cy="5539740"/>
            <wp:effectExtent l="0" t="0" r="0" b="381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36194" w:rsidRPr="001F4390" w:rsidRDefault="00236194" w:rsidP="00236194">
      <w:pPr>
        <w:ind w:firstLine="567"/>
        <w:jc w:val="both"/>
        <w:rPr>
          <w:sz w:val="28"/>
        </w:rPr>
      </w:pPr>
    </w:p>
    <w:p w:rsidR="00236194" w:rsidRPr="001F4390" w:rsidRDefault="00236194" w:rsidP="00236194">
      <w:pPr>
        <w:ind w:firstLine="567"/>
        <w:jc w:val="both"/>
        <w:rPr>
          <w:sz w:val="28"/>
        </w:rPr>
      </w:pPr>
      <w:r w:rsidRPr="001F4390">
        <w:rPr>
          <w:sz w:val="28"/>
        </w:rPr>
        <w:t xml:space="preserve">Діти до 18 років найчастіше користувалися Інтернетом з метою  скачування фільмів, зображень, музики; перегляду телебачення чи відео; або прослуховування радіо чи музики; гри у відео- чи комп'ютерні ігри або їх скачування (89% користувачів такого віку), 72% – проведення навчальних заходів в освітніх, професійних або приватних цілях шляхом онлайн-курсу </w:t>
      </w:r>
      <w:r w:rsidR="00E54A48" w:rsidRPr="001F4390">
        <w:rPr>
          <w:sz w:val="28"/>
        </w:rPr>
        <w:t>(</w:t>
      </w:r>
      <w:r w:rsidRPr="001F4390">
        <w:rPr>
          <w:sz w:val="28"/>
        </w:rPr>
        <w:t>крім повних онлайн-курсів</w:t>
      </w:r>
      <w:r w:rsidR="00E54A48" w:rsidRPr="001F4390">
        <w:rPr>
          <w:sz w:val="28"/>
        </w:rPr>
        <w:t>),</w:t>
      </w:r>
      <w:r w:rsidRPr="001F4390">
        <w:rPr>
          <w:sz w:val="28"/>
        </w:rPr>
        <w:t xml:space="preserve"> </w:t>
      </w:r>
      <w:r w:rsidR="00590AC3" w:rsidRPr="001F4390">
        <w:rPr>
          <w:sz w:val="28"/>
        </w:rPr>
        <w:t>половина</w:t>
      </w:r>
      <w:r w:rsidRPr="001F4390">
        <w:rPr>
          <w:sz w:val="28"/>
        </w:rPr>
        <w:t xml:space="preserve"> – участі у соціальних мережах, спілкування, </w:t>
      </w:r>
      <w:r w:rsidR="00590AC3" w:rsidRPr="001F4390">
        <w:rPr>
          <w:sz w:val="28"/>
        </w:rPr>
        <w:t xml:space="preserve">по </w:t>
      </w:r>
      <w:r w:rsidRPr="001F4390">
        <w:rPr>
          <w:sz w:val="28"/>
        </w:rPr>
        <w:t>21% – для відправлення (отримання) електронної пошти</w:t>
      </w:r>
      <w:r w:rsidR="00590AC3" w:rsidRPr="001F4390">
        <w:rPr>
          <w:sz w:val="28"/>
        </w:rPr>
        <w:t xml:space="preserve"> та</w:t>
      </w:r>
      <w:r w:rsidRPr="001F4390">
        <w:rPr>
          <w:sz w:val="28"/>
        </w:rPr>
        <w:t xml:space="preserve"> телефонних переговорів через Інтернет, 10% – для читання або скачування періодичних видань у режимі онлайн.</w:t>
      </w:r>
    </w:p>
    <w:p w:rsidR="00236194" w:rsidRPr="001F4390" w:rsidRDefault="00236194" w:rsidP="00236194">
      <w:pPr>
        <w:ind w:firstLine="567"/>
        <w:jc w:val="both"/>
        <w:rPr>
          <w:sz w:val="28"/>
        </w:rPr>
      </w:pPr>
      <w:r w:rsidRPr="001F4390">
        <w:rPr>
          <w:sz w:val="28"/>
        </w:rPr>
        <w:t xml:space="preserve">Послугами всесвітньої мережі користувалися </w:t>
      </w:r>
      <w:r w:rsidR="00143171" w:rsidRPr="001F4390">
        <w:rPr>
          <w:sz w:val="28"/>
        </w:rPr>
        <w:t>83% чоловіків та 80% жінок.</w:t>
      </w:r>
      <w:r w:rsidRPr="001F4390">
        <w:rPr>
          <w:sz w:val="28"/>
        </w:rPr>
        <w:t xml:space="preserve"> Чоловіки частіше, ніж жінки, використовували Інтернет для скачування фільмів, зображень, музики, перегляду телебачення чи відео; або </w:t>
      </w:r>
      <w:r w:rsidRPr="001F4390">
        <w:rPr>
          <w:sz w:val="28"/>
        </w:rPr>
        <w:lastRenderedPageBreak/>
        <w:t>прослуховування радіо чи музики; гр</w:t>
      </w:r>
      <w:r w:rsidR="00C5128D" w:rsidRPr="001F4390">
        <w:rPr>
          <w:sz w:val="28"/>
        </w:rPr>
        <w:t>и</w:t>
      </w:r>
      <w:r w:rsidRPr="001F4390">
        <w:rPr>
          <w:sz w:val="28"/>
        </w:rPr>
        <w:t xml:space="preserve"> у відео- чи комп’ютерні ігри або їх скачування, читання або скачування періодичних видань у режимі он-лайн та скачування програмного забезпечення. Жінки переважно користувалися послугами Інтернету для участі у соціальних мережах, спілкування, банківського обслуговування, пошуку інформації, пов’язаної з питаннями здоров'я, як для себе, так і для інших, замовлення (купівлі) товарів та послуг.</w:t>
      </w:r>
    </w:p>
    <w:p w:rsidR="00236194" w:rsidRPr="001F4390" w:rsidRDefault="00C62959" w:rsidP="00236194">
      <w:pPr>
        <w:pStyle w:val="a4"/>
        <w:tabs>
          <w:tab w:val="left" w:pos="9356"/>
        </w:tabs>
        <w:ind w:firstLine="567"/>
        <w:jc w:val="both"/>
        <w:rPr>
          <w:sz w:val="28"/>
        </w:rPr>
      </w:pPr>
      <w:r w:rsidRPr="001F4390">
        <w:rPr>
          <w:sz w:val="28"/>
        </w:rPr>
        <w:t>Разом з тим</w:t>
      </w:r>
      <w:r w:rsidR="00236194" w:rsidRPr="001F4390">
        <w:rPr>
          <w:sz w:val="28"/>
        </w:rPr>
        <w:t xml:space="preserve"> 18% населення у віці 5 років і старше повідомило, що за останні 12 місяців не мало можливості користуватися послугами Інтернету, серед мешканців великих міст таких осіб було 10%, малих</w:t>
      </w:r>
      <w:r w:rsidRPr="001F4390">
        <w:rPr>
          <w:sz w:val="28"/>
        </w:rPr>
        <w:t xml:space="preserve"> міст</w:t>
      </w:r>
      <w:r w:rsidR="00236194" w:rsidRPr="001F4390">
        <w:rPr>
          <w:sz w:val="28"/>
        </w:rPr>
        <w:t xml:space="preserve"> – 16%, у сільській місцевості – 30%. Серед найбільш поширених причин</w:t>
      </w:r>
      <w:r w:rsidR="00C5128D" w:rsidRPr="001F4390">
        <w:rPr>
          <w:sz w:val="28"/>
        </w:rPr>
        <w:t xml:space="preserve"> неможливості користування послугами Інтернету</w:t>
      </w:r>
      <w:r w:rsidR="00236194" w:rsidRPr="001F4390">
        <w:rPr>
          <w:sz w:val="28"/>
        </w:rPr>
        <w:t xml:space="preserve"> респондентами було вказано відсутність потреби у цих послугах – 81% (у 2019р. – 56%) таких осіб, занадто висока вартість використання та відсутність впевненості, знань чи навичок для використання Інтернету – 22% (додаток 1</w:t>
      </w:r>
      <w:r w:rsidR="0094638A" w:rsidRPr="001F4390">
        <w:rPr>
          <w:sz w:val="28"/>
          <w:lang w:val="ru-RU"/>
        </w:rPr>
        <w:t>1</w:t>
      </w:r>
      <w:r w:rsidR="00236194" w:rsidRPr="001F4390">
        <w:rPr>
          <w:sz w:val="28"/>
        </w:rPr>
        <w:t>).</w:t>
      </w:r>
    </w:p>
    <w:p w:rsidR="00236194" w:rsidRPr="001F4390" w:rsidRDefault="00236194" w:rsidP="00351548">
      <w:pPr>
        <w:pStyle w:val="a4"/>
        <w:tabs>
          <w:tab w:val="left" w:pos="9356"/>
        </w:tabs>
        <w:ind w:firstLine="567"/>
        <w:jc w:val="both"/>
        <w:rPr>
          <w:sz w:val="28"/>
        </w:rPr>
      </w:pPr>
      <w:r w:rsidRPr="001F4390">
        <w:rPr>
          <w:sz w:val="28"/>
          <w:szCs w:val="28"/>
        </w:rPr>
        <w:t>Ч</w:t>
      </w:r>
      <w:r w:rsidRPr="001F4390">
        <w:rPr>
          <w:sz w:val="28"/>
        </w:rPr>
        <w:t xml:space="preserve">астка осіб, які повідомили, що за останні 3 місяці користувалися комп’ютером, становила 64%, серед мешканців великих міст – </w:t>
      </w:r>
      <w:r w:rsidRPr="001F4390">
        <w:rPr>
          <w:sz w:val="28"/>
          <w:lang w:val="ru-RU"/>
        </w:rPr>
        <w:t>75%</w:t>
      </w:r>
      <w:r w:rsidRPr="001F4390">
        <w:rPr>
          <w:sz w:val="28"/>
        </w:rPr>
        <w:t>, малих</w:t>
      </w:r>
      <w:r w:rsidR="00C62959" w:rsidRPr="001F4390">
        <w:rPr>
          <w:sz w:val="28"/>
        </w:rPr>
        <w:t xml:space="preserve"> </w:t>
      </w:r>
      <w:r w:rsidR="00C62959" w:rsidRPr="001F4390">
        <w:rPr>
          <w:sz w:val="28"/>
        </w:rPr>
        <w:br/>
        <w:t>міст</w:t>
      </w:r>
      <w:r w:rsidRPr="001F4390">
        <w:rPr>
          <w:sz w:val="28"/>
        </w:rPr>
        <w:t xml:space="preserve"> – </w:t>
      </w:r>
      <w:r w:rsidRPr="001F4390">
        <w:rPr>
          <w:sz w:val="28"/>
          <w:lang w:val="ru-RU"/>
        </w:rPr>
        <w:t>67%</w:t>
      </w:r>
      <w:r w:rsidRPr="001F4390">
        <w:rPr>
          <w:sz w:val="28"/>
        </w:rPr>
        <w:t xml:space="preserve">. </w:t>
      </w:r>
      <w:r w:rsidR="00C62959" w:rsidRPr="001F4390">
        <w:rPr>
          <w:sz w:val="28"/>
        </w:rPr>
        <w:t>У</w:t>
      </w:r>
      <w:r w:rsidRPr="001F4390">
        <w:rPr>
          <w:sz w:val="28"/>
        </w:rPr>
        <w:t xml:space="preserve"> сільській місцевості частка осіб, яка повідомила, що за останні </w:t>
      </w:r>
      <w:r w:rsidR="00C62959" w:rsidRPr="001F4390">
        <w:rPr>
          <w:sz w:val="28"/>
        </w:rPr>
        <w:br/>
      </w:r>
      <w:r w:rsidRPr="001F4390">
        <w:rPr>
          <w:sz w:val="28"/>
        </w:rPr>
        <w:t xml:space="preserve">3 місяці користувалася комп’ютером, становила 48%. З числа користувачів 76% повідомили, що мають навички копіювання або переміщення </w:t>
      </w:r>
      <w:proofErr w:type="spellStart"/>
      <w:r w:rsidRPr="001F4390">
        <w:rPr>
          <w:sz w:val="28"/>
        </w:rPr>
        <w:t>файла</w:t>
      </w:r>
      <w:proofErr w:type="spellEnd"/>
      <w:r w:rsidRPr="001F4390">
        <w:rPr>
          <w:sz w:val="28"/>
        </w:rPr>
        <w:t xml:space="preserve"> або папки (у 2019р. – 67%),</w:t>
      </w:r>
      <w:r w:rsidR="00351548" w:rsidRPr="001F4390">
        <w:rPr>
          <w:sz w:val="28"/>
        </w:rPr>
        <w:t xml:space="preserve"> відправлення електронної пошти з вкладеними файлами – 57% (45%),</w:t>
      </w:r>
      <w:r w:rsidRPr="001F4390">
        <w:rPr>
          <w:sz w:val="28"/>
        </w:rPr>
        <w:t xml:space="preserve"> використання інструментів копіювання та вставки для дублювання чи переміщення інформації в документі – 54% (44%), перенесення файлів між комп'ютером чи іншими пристроями – 39% (34%), підключення й установлення нових пристроїв – 25% (15%), використання базових арифметичних формул в електронній таблиці – 15% (9%), знаходження, завантаження, встановлення програмного забезпечення – 13% (7%), створення електронних презентацій за допомогою презентаційного програмного забезпечення – 13% (9%) </w:t>
      </w:r>
      <w:r w:rsidR="001F4390">
        <w:rPr>
          <w:sz w:val="28"/>
        </w:rPr>
        <w:br/>
      </w:r>
      <w:r w:rsidRPr="001F4390">
        <w:rPr>
          <w:sz w:val="28"/>
        </w:rPr>
        <w:t>(додаток 1</w:t>
      </w:r>
      <w:r w:rsidR="0094638A" w:rsidRPr="001F4390">
        <w:rPr>
          <w:sz w:val="28"/>
        </w:rPr>
        <w:t>2</w:t>
      </w:r>
      <w:r w:rsidRPr="001F4390">
        <w:rPr>
          <w:sz w:val="28"/>
        </w:rPr>
        <w:t>).</w:t>
      </w:r>
    </w:p>
    <w:p w:rsidR="00B735A1" w:rsidRPr="001F4390" w:rsidRDefault="00B735A1" w:rsidP="00B735A1">
      <w:pPr>
        <w:jc w:val="center"/>
        <w:rPr>
          <w:b/>
          <w:sz w:val="22"/>
          <w:szCs w:val="22"/>
        </w:rPr>
      </w:pPr>
    </w:p>
    <w:p w:rsidR="00B735A1" w:rsidRPr="001F4390" w:rsidRDefault="00B735A1" w:rsidP="00B735A1">
      <w:pPr>
        <w:pStyle w:val="a4"/>
        <w:tabs>
          <w:tab w:val="left" w:pos="9356"/>
        </w:tabs>
        <w:ind w:firstLine="851"/>
        <w:jc w:val="both"/>
        <w:rPr>
          <w:sz w:val="28"/>
        </w:rPr>
      </w:pPr>
    </w:p>
    <w:p w:rsidR="00B735A1" w:rsidRDefault="00B735A1" w:rsidP="00B735A1">
      <w:pPr>
        <w:pStyle w:val="a4"/>
        <w:tabs>
          <w:tab w:val="left" w:pos="7088"/>
          <w:tab w:val="left" w:pos="9356"/>
        </w:tabs>
        <w:spacing w:line="276" w:lineRule="auto"/>
        <w:ind w:firstLine="0"/>
        <w:jc w:val="both"/>
        <w:rPr>
          <w:sz w:val="28"/>
        </w:rPr>
      </w:pPr>
      <w:r w:rsidRPr="001F4390">
        <w:rPr>
          <w:sz w:val="28"/>
        </w:rPr>
        <w:t xml:space="preserve">Додатки: на </w:t>
      </w:r>
      <w:r w:rsidR="008C7C7F" w:rsidRPr="001F4390">
        <w:rPr>
          <w:sz w:val="28"/>
        </w:rPr>
        <w:t>16</w:t>
      </w:r>
      <w:r w:rsidRPr="001F4390">
        <w:rPr>
          <w:sz w:val="28"/>
        </w:rPr>
        <w:t xml:space="preserve"> аркушах.</w:t>
      </w:r>
    </w:p>
    <w:sectPr w:rsidR="00B735A1" w:rsidSect="00840ED9">
      <w:headerReference w:type="default" r:id="rId13"/>
      <w:footerReference w:type="even" r:id="rId14"/>
      <w:footnotePr>
        <w:numRestart w:val="eachPage"/>
      </w:footnotePr>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F73" w:rsidRDefault="005D6F73" w:rsidP="00B735A1">
      <w:r>
        <w:separator/>
      </w:r>
    </w:p>
  </w:endnote>
  <w:endnote w:type="continuationSeparator" w:id="0">
    <w:p w:rsidR="005D6F73" w:rsidRDefault="005D6F73" w:rsidP="00B73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EC4" w:rsidRDefault="0002675E" w:rsidP="00111A9F">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8F3EC4" w:rsidRDefault="005D6F7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F73" w:rsidRDefault="005D6F73" w:rsidP="00B735A1">
      <w:r>
        <w:separator/>
      </w:r>
    </w:p>
  </w:footnote>
  <w:footnote w:type="continuationSeparator" w:id="0">
    <w:p w:rsidR="005D6F73" w:rsidRDefault="005D6F73" w:rsidP="00B735A1">
      <w:r>
        <w:continuationSeparator/>
      </w:r>
    </w:p>
  </w:footnote>
  <w:footnote w:id="1">
    <w:p w:rsidR="00B735A1" w:rsidRPr="00B13874" w:rsidRDefault="00B735A1" w:rsidP="00B735A1">
      <w:pPr>
        <w:pStyle w:val="a6"/>
        <w:ind w:firstLine="22"/>
        <w:jc w:val="both"/>
      </w:pPr>
      <w:r w:rsidRPr="00B13874">
        <w:rPr>
          <w:rStyle w:val="a8"/>
        </w:rPr>
        <w:footnoteRef/>
      </w:r>
      <w:r w:rsidRPr="00B13874">
        <w:t xml:space="preserve"> Дані вибіркового обстеження були розповсюджені із застосуванням математичних методів на всі</w:t>
      </w:r>
      <w:r>
        <w:t xml:space="preserve"> неінституційні (приватні)</w:t>
      </w:r>
      <w:r w:rsidRPr="00B13874">
        <w:t xml:space="preserve"> домогосподарства України</w:t>
      </w:r>
      <w:r>
        <w:t xml:space="preserve"> (за виключенням тих, що проживають на</w:t>
      </w:r>
      <w:r w:rsidRPr="00B13874">
        <w:t xml:space="preserve"> тимчасово окупован</w:t>
      </w:r>
      <w:r>
        <w:t>ій</w:t>
      </w:r>
      <w:r w:rsidRPr="00B13874">
        <w:t xml:space="preserve"> території Автономної Республіки Крим, м. Севастополя та частин</w:t>
      </w:r>
      <w:r>
        <w:t>і</w:t>
      </w:r>
      <w:r w:rsidRPr="00B13874">
        <w:t xml:space="preserve"> </w:t>
      </w:r>
      <w:r>
        <w:t>тимчасово окупованих територій у Донецькій та Луганській областях)</w:t>
      </w:r>
      <w:r w:rsidRPr="00B13874">
        <w:t>.</w:t>
      </w:r>
    </w:p>
  </w:footnote>
  <w:footnote w:id="2">
    <w:p w:rsidR="006D6415" w:rsidRPr="00B13874" w:rsidRDefault="006D6415" w:rsidP="006D6415">
      <w:pPr>
        <w:pStyle w:val="a6"/>
        <w:jc w:val="both"/>
      </w:pPr>
      <w:r w:rsidRPr="00B13874">
        <w:rPr>
          <w:rStyle w:val="a8"/>
        </w:rPr>
        <w:footnoteRef/>
      </w:r>
      <w:r w:rsidRPr="00B13874">
        <w:t xml:space="preserve"> 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впроваджено використання шкали еквівалентності. Зазначена шкала є системою коефіцієнтів, яка відображає зменшення</w:t>
      </w:r>
      <w:r>
        <w:t xml:space="preserve"> мінімально необхідних потреб</w:t>
      </w:r>
      <w:r w:rsidRPr="00B13874">
        <w:t xml:space="preserve"> одн</w:t>
      </w:r>
      <w:r>
        <w:t xml:space="preserve">ієї особи зі складу </w:t>
      </w:r>
      <w:r w:rsidRPr="00B13874">
        <w:t>домогосподарства при збільшенні розміру домогосподарства та зміні його складу. В Україні зас</w:t>
      </w:r>
      <w:r>
        <w:t xml:space="preserve">тосовується шкала, за якою першій особі у </w:t>
      </w:r>
      <w:r w:rsidRPr="00B13874">
        <w:t>домогосподарств</w:t>
      </w:r>
      <w:r>
        <w:t>і</w:t>
      </w:r>
      <w:r w:rsidRPr="00B13874">
        <w:t xml:space="preserve"> присвоюється коефіцієнт 1, а всім іншим – 0,7.</w:t>
      </w:r>
    </w:p>
  </w:footnote>
  <w:footnote w:id="3">
    <w:p w:rsidR="003D2C39" w:rsidRDefault="003D2C39" w:rsidP="003D2C39">
      <w:pPr>
        <w:pStyle w:val="a4"/>
        <w:jc w:val="both"/>
        <w:rPr>
          <w:sz w:val="20"/>
        </w:rPr>
      </w:pPr>
      <w:r>
        <w:rPr>
          <w:rStyle w:val="a8"/>
        </w:rPr>
        <w:footnoteRef/>
      </w:r>
      <w:r>
        <w:t xml:space="preserve"> </w:t>
      </w:r>
      <w:r w:rsidRPr="00F853B1">
        <w:rPr>
          <w:sz w:val="20"/>
        </w:rPr>
        <w:t>Особа вважається такою, що живе в перенаселеному житлі</w:t>
      </w:r>
      <w:r w:rsidRPr="00794978">
        <w:rPr>
          <w:sz w:val="20"/>
        </w:rPr>
        <w:t>, якщо домогосподарство, членом якого вона є, не має у своєму розпорядженні мінімум необхідних кімнат, рівний: одна кімната для домогосподарства; одна кімната для пари в домогосподарстві; одна кімната для кожної особи у віці 18 років і більше; одна кімната для пари осіб однієї статі у віці від 12 до 17 років; одна кімната для кожної особи у віці 12-17 років, яка не включена до попередньої категорії; одна кімната для пари  дітей віком до 12 років.</w:t>
      </w:r>
      <w:r w:rsidRPr="00150E25">
        <w:rPr>
          <w:sz w:val="20"/>
        </w:rPr>
        <w:t xml:space="preserve"> </w:t>
      </w:r>
      <w:r>
        <w:rPr>
          <w:sz w:val="20"/>
        </w:rPr>
        <w:t xml:space="preserve"> </w:t>
      </w:r>
      <w:r w:rsidRPr="00150E25">
        <w:rPr>
          <w:sz w:val="20"/>
        </w:rPr>
        <w:t>Дж</w:t>
      </w:r>
      <w:r>
        <w:rPr>
          <w:sz w:val="20"/>
        </w:rPr>
        <w:t>ерело</w:t>
      </w:r>
      <w:r w:rsidRPr="00150E25">
        <w:rPr>
          <w:sz w:val="20"/>
        </w:rPr>
        <w:t xml:space="preserve"> сайт</w:t>
      </w:r>
      <w:r>
        <w:rPr>
          <w:sz w:val="20"/>
        </w:rPr>
        <w:t xml:space="preserve"> Євростату: </w:t>
      </w:r>
    </w:p>
    <w:p w:rsidR="003D2C39" w:rsidRDefault="005D6F73" w:rsidP="003D2C39">
      <w:pPr>
        <w:pStyle w:val="a6"/>
      </w:pPr>
      <w:hyperlink r:id="rId1" w:history="1">
        <w:r w:rsidR="003D2C39" w:rsidRPr="001F0677">
          <w:rPr>
            <w:rStyle w:val="af7"/>
          </w:rPr>
          <w:t>http://ec.europa.eu/eurostat/statistics-explained/index.php/EU_statistics_on_income_and_living_conditions_(EU-SILC)_methodology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366868"/>
      <w:docPartObj>
        <w:docPartGallery w:val="Page Numbers (Top of Page)"/>
        <w:docPartUnique/>
      </w:docPartObj>
    </w:sdtPr>
    <w:sdtEndPr/>
    <w:sdtContent>
      <w:p w:rsidR="00840ED9" w:rsidRDefault="0002675E">
        <w:pPr>
          <w:pStyle w:val="ae"/>
          <w:jc w:val="center"/>
        </w:pPr>
        <w:r>
          <w:fldChar w:fldCharType="begin"/>
        </w:r>
        <w:r>
          <w:instrText>PAGE   \* MERGEFORMAT</w:instrText>
        </w:r>
        <w:r>
          <w:fldChar w:fldCharType="separate"/>
        </w:r>
        <w:r w:rsidR="00E54A48">
          <w:rPr>
            <w:noProof/>
          </w:rPr>
          <w:t>11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96D88"/>
    <w:multiLevelType w:val="hybridMultilevel"/>
    <w:tmpl w:val="8F1237EA"/>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 w15:restartNumberingAfterBreak="0">
    <w:nsid w:val="538E4504"/>
    <w:multiLevelType w:val="hybridMultilevel"/>
    <w:tmpl w:val="FF8AF374"/>
    <w:lvl w:ilvl="0" w:tplc="8630505A">
      <w:start w:val="1"/>
      <w:numFmt w:val="bullet"/>
      <w:lvlText w:val=""/>
      <w:lvlJc w:val="left"/>
      <w:pPr>
        <w:tabs>
          <w:tab w:val="num" w:pos="1400"/>
        </w:tabs>
        <w:ind w:left="1400" w:hanging="113"/>
      </w:pPr>
      <w:rPr>
        <w:rFonts w:ascii="Symbol" w:hAnsi="Symbol" w:hint="default"/>
      </w:rPr>
    </w:lvl>
    <w:lvl w:ilvl="1" w:tplc="5C48899E">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7C437A7E"/>
    <w:multiLevelType w:val="hybridMultilevel"/>
    <w:tmpl w:val="DFCA0A84"/>
    <w:lvl w:ilvl="0" w:tplc="CCEACBBC">
      <w:start w:val="1"/>
      <w:numFmt w:val="decimal"/>
      <w:lvlText w:val="%1)"/>
      <w:lvlJc w:val="left"/>
      <w:pPr>
        <w:ind w:left="1108" w:hanging="360"/>
      </w:pPr>
      <w:rPr>
        <w:rFonts w:hint="default"/>
        <w:color w:val="222222"/>
        <w:sz w:val="28"/>
        <w:szCs w:val="28"/>
      </w:rPr>
    </w:lvl>
    <w:lvl w:ilvl="1" w:tplc="04220019" w:tentative="1">
      <w:start w:val="1"/>
      <w:numFmt w:val="lowerLetter"/>
      <w:lvlText w:val="%2."/>
      <w:lvlJc w:val="left"/>
      <w:pPr>
        <w:ind w:left="1828" w:hanging="360"/>
      </w:pPr>
    </w:lvl>
    <w:lvl w:ilvl="2" w:tplc="0422001B" w:tentative="1">
      <w:start w:val="1"/>
      <w:numFmt w:val="lowerRoman"/>
      <w:lvlText w:val="%3."/>
      <w:lvlJc w:val="right"/>
      <w:pPr>
        <w:ind w:left="2548" w:hanging="180"/>
      </w:pPr>
    </w:lvl>
    <w:lvl w:ilvl="3" w:tplc="0422000F" w:tentative="1">
      <w:start w:val="1"/>
      <w:numFmt w:val="decimal"/>
      <w:lvlText w:val="%4."/>
      <w:lvlJc w:val="left"/>
      <w:pPr>
        <w:ind w:left="3268" w:hanging="360"/>
      </w:pPr>
    </w:lvl>
    <w:lvl w:ilvl="4" w:tplc="04220019" w:tentative="1">
      <w:start w:val="1"/>
      <w:numFmt w:val="lowerLetter"/>
      <w:lvlText w:val="%5."/>
      <w:lvlJc w:val="left"/>
      <w:pPr>
        <w:ind w:left="3988" w:hanging="360"/>
      </w:pPr>
    </w:lvl>
    <w:lvl w:ilvl="5" w:tplc="0422001B" w:tentative="1">
      <w:start w:val="1"/>
      <w:numFmt w:val="lowerRoman"/>
      <w:lvlText w:val="%6."/>
      <w:lvlJc w:val="right"/>
      <w:pPr>
        <w:ind w:left="4708" w:hanging="180"/>
      </w:pPr>
    </w:lvl>
    <w:lvl w:ilvl="6" w:tplc="0422000F" w:tentative="1">
      <w:start w:val="1"/>
      <w:numFmt w:val="decimal"/>
      <w:lvlText w:val="%7."/>
      <w:lvlJc w:val="left"/>
      <w:pPr>
        <w:ind w:left="5428" w:hanging="360"/>
      </w:pPr>
    </w:lvl>
    <w:lvl w:ilvl="7" w:tplc="04220019" w:tentative="1">
      <w:start w:val="1"/>
      <w:numFmt w:val="lowerLetter"/>
      <w:lvlText w:val="%8."/>
      <w:lvlJc w:val="left"/>
      <w:pPr>
        <w:ind w:left="6148" w:hanging="360"/>
      </w:pPr>
    </w:lvl>
    <w:lvl w:ilvl="8" w:tplc="0422001B" w:tentative="1">
      <w:start w:val="1"/>
      <w:numFmt w:val="lowerRoman"/>
      <w:lvlText w:val="%9."/>
      <w:lvlJc w:val="right"/>
      <w:pPr>
        <w:ind w:left="686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35A1"/>
    <w:rsid w:val="00005BB6"/>
    <w:rsid w:val="000067DF"/>
    <w:rsid w:val="000110CD"/>
    <w:rsid w:val="00015D34"/>
    <w:rsid w:val="00021BE6"/>
    <w:rsid w:val="00023559"/>
    <w:rsid w:val="0002675E"/>
    <w:rsid w:val="00026C13"/>
    <w:rsid w:val="00027BA6"/>
    <w:rsid w:val="0004596D"/>
    <w:rsid w:val="00047A2F"/>
    <w:rsid w:val="00047C28"/>
    <w:rsid w:val="00054F3E"/>
    <w:rsid w:val="00056EA6"/>
    <w:rsid w:val="00073A49"/>
    <w:rsid w:val="00074D80"/>
    <w:rsid w:val="000803F2"/>
    <w:rsid w:val="0008432C"/>
    <w:rsid w:val="00086657"/>
    <w:rsid w:val="000866A1"/>
    <w:rsid w:val="00087F05"/>
    <w:rsid w:val="00094D70"/>
    <w:rsid w:val="000953A1"/>
    <w:rsid w:val="000B1052"/>
    <w:rsid w:val="000C314A"/>
    <w:rsid w:val="000E00AF"/>
    <w:rsid w:val="000E0C16"/>
    <w:rsid w:val="000F25D3"/>
    <w:rsid w:val="0011216D"/>
    <w:rsid w:val="00126457"/>
    <w:rsid w:val="001305D9"/>
    <w:rsid w:val="00135EC5"/>
    <w:rsid w:val="00142CEA"/>
    <w:rsid w:val="00143171"/>
    <w:rsid w:val="00144DFC"/>
    <w:rsid w:val="00152038"/>
    <w:rsid w:val="0015541E"/>
    <w:rsid w:val="00157A93"/>
    <w:rsid w:val="00173E77"/>
    <w:rsid w:val="001760F7"/>
    <w:rsid w:val="00177D7A"/>
    <w:rsid w:val="00191790"/>
    <w:rsid w:val="001A3D72"/>
    <w:rsid w:val="001B215C"/>
    <w:rsid w:val="001B6345"/>
    <w:rsid w:val="001C2F37"/>
    <w:rsid w:val="001C71D6"/>
    <w:rsid w:val="001D4714"/>
    <w:rsid w:val="001D55D3"/>
    <w:rsid w:val="001E4025"/>
    <w:rsid w:val="001E7DBF"/>
    <w:rsid w:val="001F4390"/>
    <w:rsid w:val="001F7B48"/>
    <w:rsid w:val="00203430"/>
    <w:rsid w:val="002165B7"/>
    <w:rsid w:val="002175C6"/>
    <w:rsid w:val="00222EB6"/>
    <w:rsid w:val="00236194"/>
    <w:rsid w:val="002443C0"/>
    <w:rsid w:val="0026743C"/>
    <w:rsid w:val="00280588"/>
    <w:rsid w:val="00280B5C"/>
    <w:rsid w:val="00283B62"/>
    <w:rsid w:val="00284027"/>
    <w:rsid w:val="0029047C"/>
    <w:rsid w:val="00292DBE"/>
    <w:rsid w:val="002A2461"/>
    <w:rsid w:val="002A2B74"/>
    <w:rsid w:val="002A6897"/>
    <w:rsid w:val="002C1835"/>
    <w:rsid w:val="002E4861"/>
    <w:rsid w:val="002F1F48"/>
    <w:rsid w:val="002F79E6"/>
    <w:rsid w:val="0030792B"/>
    <w:rsid w:val="00326C79"/>
    <w:rsid w:val="00326CFF"/>
    <w:rsid w:val="00347A37"/>
    <w:rsid w:val="00351548"/>
    <w:rsid w:val="00362D0E"/>
    <w:rsid w:val="003636B6"/>
    <w:rsid w:val="003649DE"/>
    <w:rsid w:val="00367E2D"/>
    <w:rsid w:val="00376C41"/>
    <w:rsid w:val="00383818"/>
    <w:rsid w:val="003945EF"/>
    <w:rsid w:val="003A4885"/>
    <w:rsid w:val="003C078B"/>
    <w:rsid w:val="003C245D"/>
    <w:rsid w:val="003C6B5F"/>
    <w:rsid w:val="003C7BF3"/>
    <w:rsid w:val="003D0385"/>
    <w:rsid w:val="003D2C39"/>
    <w:rsid w:val="003E0E01"/>
    <w:rsid w:val="003E2273"/>
    <w:rsid w:val="003E2720"/>
    <w:rsid w:val="003F1DDE"/>
    <w:rsid w:val="003F1EC9"/>
    <w:rsid w:val="00420E1A"/>
    <w:rsid w:val="00450CE9"/>
    <w:rsid w:val="0045233D"/>
    <w:rsid w:val="00453981"/>
    <w:rsid w:val="00453C7D"/>
    <w:rsid w:val="00464716"/>
    <w:rsid w:val="004671A9"/>
    <w:rsid w:val="00471188"/>
    <w:rsid w:val="0047118F"/>
    <w:rsid w:val="00475387"/>
    <w:rsid w:val="00477DBD"/>
    <w:rsid w:val="00484C1D"/>
    <w:rsid w:val="00486385"/>
    <w:rsid w:val="004B0EB9"/>
    <w:rsid w:val="004B5410"/>
    <w:rsid w:val="004C6198"/>
    <w:rsid w:val="004D1F4D"/>
    <w:rsid w:val="004D3E56"/>
    <w:rsid w:val="004D764F"/>
    <w:rsid w:val="004E1DEC"/>
    <w:rsid w:val="004E5839"/>
    <w:rsid w:val="004F76A6"/>
    <w:rsid w:val="0051657D"/>
    <w:rsid w:val="00516C56"/>
    <w:rsid w:val="00517225"/>
    <w:rsid w:val="00531EC2"/>
    <w:rsid w:val="0054419A"/>
    <w:rsid w:val="00553770"/>
    <w:rsid w:val="0056266F"/>
    <w:rsid w:val="0057183E"/>
    <w:rsid w:val="00580DEC"/>
    <w:rsid w:val="005810BC"/>
    <w:rsid w:val="00590AC3"/>
    <w:rsid w:val="00593961"/>
    <w:rsid w:val="005A2FD2"/>
    <w:rsid w:val="005A768C"/>
    <w:rsid w:val="005B2CE5"/>
    <w:rsid w:val="005B2EFA"/>
    <w:rsid w:val="005C298F"/>
    <w:rsid w:val="005D6F73"/>
    <w:rsid w:val="005E0446"/>
    <w:rsid w:val="005E3294"/>
    <w:rsid w:val="005E35E7"/>
    <w:rsid w:val="005E39CD"/>
    <w:rsid w:val="005E4643"/>
    <w:rsid w:val="006003A0"/>
    <w:rsid w:val="00607B2E"/>
    <w:rsid w:val="006221E6"/>
    <w:rsid w:val="006241FF"/>
    <w:rsid w:val="0063389F"/>
    <w:rsid w:val="00634EFF"/>
    <w:rsid w:val="00641431"/>
    <w:rsid w:val="0064222D"/>
    <w:rsid w:val="006545C9"/>
    <w:rsid w:val="00657871"/>
    <w:rsid w:val="00680E40"/>
    <w:rsid w:val="00683D22"/>
    <w:rsid w:val="006972D5"/>
    <w:rsid w:val="00697AE3"/>
    <w:rsid w:val="006A2DA7"/>
    <w:rsid w:val="006B349B"/>
    <w:rsid w:val="006B56F4"/>
    <w:rsid w:val="006C77AD"/>
    <w:rsid w:val="006D1FF1"/>
    <w:rsid w:val="006D6415"/>
    <w:rsid w:val="006E2998"/>
    <w:rsid w:val="006E2C0B"/>
    <w:rsid w:val="006E6911"/>
    <w:rsid w:val="007013D4"/>
    <w:rsid w:val="00703B22"/>
    <w:rsid w:val="00706622"/>
    <w:rsid w:val="00715525"/>
    <w:rsid w:val="007168CD"/>
    <w:rsid w:val="00721B55"/>
    <w:rsid w:val="007320FB"/>
    <w:rsid w:val="00741357"/>
    <w:rsid w:val="00747094"/>
    <w:rsid w:val="007552BC"/>
    <w:rsid w:val="007638C2"/>
    <w:rsid w:val="00792C41"/>
    <w:rsid w:val="007A19BC"/>
    <w:rsid w:val="007A6459"/>
    <w:rsid w:val="007A68C7"/>
    <w:rsid w:val="007B272B"/>
    <w:rsid w:val="007C1FC4"/>
    <w:rsid w:val="007D3C82"/>
    <w:rsid w:val="007E5416"/>
    <w:rsid w:val="007E5947"/>
    <w:rsid w:val="007E683E"/>
    <w:rsid w:val="007F0405"/>
    <w:rsid w:val="00801877"/>
    <w:rsid w:val="00802039"/>
    <w:rsid w:val="00803849"/>
    <w:rsid w:val="00805B66"/>
    <w:rsid w:val="008110C8"/>
    <w:rsid w:val="0082437F"/>
    <w:rsid w:val="008544D0"/>
    <w:rsid w:val="00855DC2"/>
    <w:rsid w:val="008565EE"/>
    <w:rsid w:val="008648C9"/>
    <w:rsid w:val="008700EF"/>
    <w:rsid w:val="0087724F"/>
    <w:rsid w:val="0088040C"/>
    <w:rsid w:val="008906D8"/>
    <w:rsid w:val="00891302"/>
    <w:rsid w:val="008A04A0"/>
    <w:rsid w:val="008A31DD"/>
    <w:rsid w:val="008A5540"/>
    <w:rsid w:val="008B3FFD"/>
    <w:rsid w:val="008C7C7F"/>
    <w:rsid w:val="008D2090"/>
    <w:rsid w:val="008D20A9"/>
    <w:rsid w:val="008D6D32"/>
    <w:rsid w:val="008E2E9D"/>
    <w:rsid w:val="00900BFD"/>
    <w:rsid w:val="0090280E"/>
    <w:rsid w:val="00904725"/>
    <w:rsid w:val="00907F6B"/>
    <w:rsid w:val="00911C5F"/>
    <w:rsid w:val="00915CD1"/>
    <w:rsid w:val="00920D5F"/>
    <w:rsid w:val="009275B1"/>
    <w:rsid w:val="00933766"/>
    <w:rsid w:val="00936901"/>
    <w:rsid w:val="009374C7"/>
    <w:rsid w:val="0094638A"/>
    <w:rsid w:val="009537F3"/>
    <w:rsid w:val="00954F26"/>
    <w:rsid w:val="00957481"/>
    <w:rsid w:val="009755BE"/>
    <w:rsid w:val="00986F93"/>
    <w:rsid w:val="009966C2"/>
    <w:rsid w:val="009A1B52"/>
    <w:rsid w:val="009C176A"/>
    <w:rsid w:val="009C61DC"/>
    <w:rsid w:val="009C7FF7"/>
    <w:rsid w:val="009D0E12"/>
    <w:rsid w:val="009D702A"/>
    <w:rsid w:val="009E7CA5"/>
    <w:rsid w:val="009F18A6"/>
    <w:rsid w:val="009F2893"/>
    <w:rsid w:val="00A1034F"/>
    <w:rsid w:val="00A12F8B"/>
    <w:rsid w:val="00A215D8"/>
    <w:rsid w:val="00A26B73"/>
    <w:rsid w:val="00A4185A"/>
    <w:rsid w:val="00A4501F"/>
    <w:rsid w:val="00A5005C"/>
    <w:rsid w:val="00A51F21"/>
    <w:rsid w:val="00A56C30"/>
    <w:rsid w:val="00A643E4"/>
    <w:rsid w:val="00A727E9"/>
    <w:rsid w:val="00A87FDD"/>
    <w:rsid w:val="00A913F4"/>
    <w:rsid w:val="00AA15D5"/>
    <w:rsid w:val="00AB0A76"/>
    <w:rsid w:val="00AC17BD"/>
    <w:rsid w:val="00AC1E2D"/>
    <w:rsid w:val="00AD223A"/>
    <w:rsid w:val="00AE0A8E"/>
    <w:rsid w:val="00AF426D"/>
    <w:rsid w:val="00AF6858"/>
    <w:rsid w:val="00AF7A18"/>
    <w:rsid w:val="00B00C9D"/>
    <w:rsid w:val="00B026DE"/>
    <w:rsid w:val="00B04666"/>
    <w:rsid w:val="00B205F5"/>
    <w:rsid w:val="00B23955"/>
    <w:rsid w:val="00B26E25"/>
    <w:rsid w:val="00B42547"/>
    <w:rsid w:val="00B472F9"/>
    <w:rsid w:val="00B5265A"/>
    <w:rsid w:val="00B67D8B"/>
    <w:rsid w:val="00B735A1"/>
    <w:rsid w:val="00B84B14"/>
    <w:rsid w:val="00B86947"/>
    <w:rsid w:val="00BA3718"/>
    <w:rsid w:val="00BA400D"/>
    <w:rsid w:val="00BA705F"/>
    <w:rsid w:val="00BA772D"/>
    <w:rsid w:val="00BC0EB9"/>
    <w:rsid w:val="00BD3041"/>
    <w:rsid w:val="00BD5FBB"/>
    <w:rsid w:val="00BD744D"/>
    <w:rsid w:val="00C05EA9"/>
    <w:rsid w:val="00C1612E"/>
    <w:rsid w:val="00C2685E"/>
    <w:rsid w:val="00C32304"/>
    <w:rsid w:val="00C356E0"/>
    <w:rsid w:val="00C400B0"/>
    <w:rsid w:val="00C5128D"/>
    <w:rsid w:val="00C523A0"/>
    <w:rsid w:val="00C61772"/>
    <w:rsid w:val="00C61FFB"/>
    <w:rsid w:val="00C62959"/>
    <w:rsid w:val="00C63618"/>
    <w:rsid w:val="00C657EC"/>
    <w:rsid w:val="00C6728B"/>
    <w:rsid w:val="00C71C3F"/>
    <w:rsid w:val="00C74191"/>
    <w:rsid w:val="00C74820"/>
    <w:rsid w:val="00C851D8"/>
    <w:rsid w:val="00CA1FC0"/>
    <w:rsid w:val="00CA295A"/>
    <w:rsid w:val="00CA53F9"/>
    <w:rsid w:val="00CB1098"/>
    <w:rsid w:val="00CB5AB9"/>
    <w:rsid w:val="00CC0A76"/>
    <w:rsid w:val="00CD1B70"/>
    <w:rsid w:val="00CD46C4"/>
    <w:rsid w:val="00CE27F1"/>
    <w:rsid w:val="00CE43E7"/>
    <w:rsid w:val="00CF320E"/>
    <w:rsid w:val="00D11261"/>
    <w:rsid w:val="00D14578"/>
    <w:rsid w:val="00D31863"/>
    <w:rsid w:val="00D330AB"/>
    <w:rsid w:val="00D34BE3"/>
    <w:rsid w:val="00D35D3B"/>
    <w:rsid w:val="00D40FB1"/>
    <w:rsid w:val="00D564FB"/>
    <w:rsid w:val="00D57B7C"/>
    <w:rsid w:val="00D71490"/>
    <w:rsid w:val="00D800A1"/>
    <w:rsid w:val="00D95DF5"/>
    <w:rsid w:val="00DA4CC1"/>
    <w:rsid w:val="00DA68D2"/>
    <w:rsid w:val="00DB00E7"/>
    <w:rsid w:val="00DB1962"/>
    <w:rsid w:val="00DC1914"/>
    <w:rsid w:val="00DE2D0B"/>
    <w:rsid w:val="00DE7F3B"/>
    <w:rsid w:val="00DF0266"/>
    <w:rsid w:val="00DF4FA1"/>
    <w:rsid w:val="00E0497E"/>
    <w:rsid w:val="00E06FCB"/>
    <w:rsid w:val="00E12210"/>
    <w:rsid w:val="00E14FB7"/>
    <w:rsid w:val="00E1624F"/>
    <w:rsid w:val="00E17375"/>
    <w:rsid w:val="00E260BE"/>
    <w:rsid w:val="00E31473"/>
    <w:rsid w:val="00E36CC1"/>
    <w:rsid w:val="00E4065B"/>
    <w:rsid w:val="00E54A48"/>
    <w:rsid w:val="00E779E6"/>
    <w:rsid w:val="00E801C0"/>
    <w:rsid w:val="00E91385"/>
    <w:rsid w:val="00E91B47"/>
    <w:rsid w:val="00EA0456"/>
    <w:rsid w:val="00EA3CD8"/>
    <w:rsid w:val="00EA41B7"/>
    <w:rsid w:val="00EA4BB1"/>
    <w:rsid w:val="00EB27B1"/>
    <w:rsid w:val="00EC188E"/>
    <w:rsid w:val="00EC6208"/>
    <w:rsid w:val="00EE4B5B"/>
    <w:rsid w:val="00EE4DDF"/>
    <w:rsid w:val="00F033C8"/>
    <w:rsid w:val="00F07789"/>
    <w:rsid w:val="00F156C5"/>
    <w:rsid w:val="00F22281"/>
    <w:rsid w:val="00F233A0"/>
    <w:rsid w:val="00F2416B"/>
    <w:rsid w:val="00F27C9E"/>
    <w:rsid w:val="00F35EB8"/>
    <w:rsid w:val="00F40067"/>
    <w:rsid w:val="00F61EA1"/>
    <w:rsid w:val="00F62D8B"/>
    <w:rsid w:val="00F667FE"/>
    <w:rsid w:val="00F67509"/>
    <w:rsid w:val="00F77B56"/>
    <w:rsid w:val="00F80A93"/>
    <w:rsid w:val="00F80D96"/>
    <w:rsid w:val="00F825D1"/>
    <w:rsid w:val="00F8289B"/>
    <w:rsid w:val="00F84545"/>
    <w:rsid w:val="00F853B1"/>
    <w:rsid w:val="00F91954"/>
    <w:rsid w:val="00FB6734"/>
    <w:rsid w:val="00FC070F"/>
    <w:rsid w:val="00FC1CE3"/>
    <w:rsid w:val="00FC459D"/>
    <w:rsid w:val="00FD31E9"/>
    <w:rsid w:val="00FD55AE"/>
    <w:rsid w:val="00FE478F"/>
    <w:rsid w:val="00FF20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8979F"/>
  <w15:docId w15:val="{0540BE5C-5276-4D51-9A45-25D1E49A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35A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735A1"/>
    <w:pPr>
      <w:keepNext/>
      <w:ind w:firstLine="720"/>
      <w:jc w:val="center"/>
      <w:outlineLvl w:val="0"/>
    </w:pPr>
    <w:rPr>
      <w:b/>
      <w:sz w:val="24"/>
    </w:rPr>
  </w:style>
  <w:style w:type="paragraph" w:styleId="2">
    <w:name w:val="heading 2"/>
    <w:basedOn w:val="a"/>
    <w:next w:val="a"/>
    <w:link w:val="20"/>
    <w:qFormat/>
    <w:rsid w:val="00B735A1"/>
    <w:pPr>
      <w:keepNext/>
      <w:ind w:firstLine="720"/>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35A1"/>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B735A1"/>
    <w:rPr>
      <w:rFonts w:ascii="Times New Roman" w:eastAsia="Times New Roman" w:hAnsi="Times New Roman" w:cs="Times New Roman"/>
      <w:sz w:val="28"/>
      <w:szCs w:val="20"/>
      <w:lang w:eastAsia="ru-RU"/>
    </w:rPr>
  </w:style>
  <w:style w:type="paragraph" w:customStyle="1" w:styleId="a3">
    <w:name w:val="Знак Знак Знак Знак Знак Знак Знак Знак Знак Знак Знак Знак"/>
    <w:basedOn w:val="a"/>
    <w:rsid w:val="00B735A1"/>
    <w:rPr>
      <w:rFonts w:ascii="Verdana" w:hAnsi="Verdana" w:cs="Verdana"/>
      <w:lang w:val="en-US" w:eastAsia="en-US"/>
    </w:rPr>
  </w:style>
  <w:style w:type="paragraph" w:styleId="a4">
    <w:name w:val="Body Text Indent"/>
    <w:basedOn w:val="a"/>
    <w:link w:val="a5"/>
    <w:rsid w:val="00B735A1"/>
    <w:pPr>
      <w:ind w:firstLine="720"/>
    </w:pPr>
    <w:rPr>
      <w:sz w:val="24"/>
    </w:rPr>
  </w:style>
  <w:style w:type="character" w:customStyle="1" w:styleId="a5">
    <w:name w:val="Основний текст з відступом Знак"/>
    <w:basedOn w:val="a0"/>
    <w:link w:val="a4"/>
    <w:rsid w:val="00B735A1"/>
    <w:rPr>
      <w:rFonts w:ascii="Times New Roman" w:eastAsia="Times New Roman" w:hAnsi="Times New Roman" w:cs="Times New Roman"/>
      <w:sz w:val="24"/>
      <w:szCs w:val="20"/>
      <w:lang w:eastAsia="ru-RU"/>
    </w:rPr>
  </w:style>
  <w:style w:type="paragraph" w:styleId="3">
    <w:name w:val="Body Text Indent 3"/>
    <w:basedOn w:val="a"/>
    <w:link w:val="30"/>
    <w:rsid w:val="00B735A1"/>
    <w:pPr>
      <w:ind w:firstLine="851"/>
      <w:jc w:val="center"/>
    </w:pPr>
    <w:rPr>
      <w:b/>
      <w:i/>
      <w:sz w:val="32"/>
    </w:rPr>
  </w:style>
  <w:style w:type="character" w:customStyle="1" w:styleId="30">
    <w:name w:val="Основний текст з відступом 3 Знак"/>
    <w:basedOn w:val="a0"/>
    <w:link w:val="3"/>
    <w:rsid w:val="00B735A1"/>
    <w:rPr>
      <w:rFonts w:ascii="Times New Roman" w:eastAsia="Times New Roman" w:hAnsi="Times New Roman" w:cs="Times New Roman"/>
      <w:b/>
      <w:i/>
      <w:sz w:val="32"/>
      <w:szCs w:val="20"/>
      <w:lang w:eastAsia="ru-RU"/>
    </w:rPr>
  </w:style>
  <w:style w:type="paragraph" w:styleId="a6">
    <w:name w:val="footnote text"/>
    <w:basedOn w:val="a"/>
    <w:link w:val="a7"/>
    <w:semiHidden/>
    <w:rsid w:val="00B735A1"/>
  </w:style>
  <w:style w:type="character" w:customStyle="1" w:styleId="a7">
    <w:name w:val="Текст виноски Знак"/>
    <w:basedOn w:val="a0"/>
    <w:link w:val="a6"/>
    <w:semiHidden/>
    <w:rsid w:val="00B735A1"/>
    <w:rPr>
      <w:rFonts w:ascii="Times New Roman" w:eastAsia="Times New Roman" w:hAnsi="Times New Roman" w:cs="Times New Roman"/>
      <w:sz w:val="20"/>
      <w:szCs w:val="20"/>
      <w:lang w:eastAsia="ru-RU"/>
    </w:rPr>
  </w:style>
  <w:style w:type="character" w:styleId="a8">
    <w:name w:val="footnote reference"/>
    <w:semiHidden/>
    <w:rsid w:val="00B735A1"/>
    <w:rPr>
      <w:vertAlign w:val="superscript"/>
    </w:rPr>
  </w:style>
  <w:style w:type="paragraph" w:styleId="21">
    <w:name w:val="Body Text Indent 2"/>
    <w:basedOn w:val="a"/>
    <w:link w:val="22"/>
    <w:rsid w:val="00B735A1"/>
    <w:pPr>
      <w:ind w:firstLine="720"/>
      <w:jc w:val="both"/>
    </w:pPr>
    <w:rPr>
      <w:sz w:val="28"/>
    </w:rPr>
  </w:style>
  <w:style w:type="character" w:customStyle="1" w:styleId="22">
    <w:name w:val="Основний текст з відступом 2 Знак"/>
    <w:basedOn w:val="a0"/>
    <w:link w:val="21"/>
    <w:rsid w:val="00B735A1"/>
    <w:rPr>
      <w:rFonts w:ascii="Times New Roman" w:eastAsia="Times New Roman" w:hAnsi="Times New Roman" w:cs="Times New Roman"/>
      <w:sz w:val="28"/>
      <w:szCs w:val="20"/>
      <w:lang w:eastAsia="ru-RU"/>
    </w:rPr>
  </w:style>
  <w:style w:type="paragraph" w:styleId="a9">
    <w:name w:val="Body Text"/>
    <w:basedOn w:val="a"/>
    <w:link w:val="aa"/>
    <w:rsid w:val="00B735A1"/>
    <w:pPr>
      <w:jc w:val="both"/>
    </w:pPr>
    <w:rPr>
      <w:sz w:val="28"/>
    </w:rPr>
  </w:style>
  <w:style w:type="character" w:customStyle="1" w:styleId="aa">
    <w:name w:val="Основний текст Знак"/>
    <w:basedOn w:val="a0"/>
    <w:link w:val="a9"/>
    <w:uiPriority w:val="99"/>
    <w:rsid w:val="00B735A1"/>
    <w:rPr>
      <w:rFonts w:ascii="Times New Roman" w:eastAsia="Times New Roman" w:hAnsi="Times New Roman" w:cs="Times New Roman"/>
      <w:sz w:val="28"/>
      <w:szCs w:val="20"/>
      <w:lang w:eastAsia="ru-RU"/>
    </w:rPr>
  </w:style>
  <w:style w:type="paragraph" w:styleId="ab">
    <w:name w:val="footer"/>
    <w:basedOn w:val="a"/>
    <w:link w:val="ac"/>
    <w:uiPriority w:val="99"/>
    <w:rsid w:val="00B735A1"/>
    <w:pPr>
      <w:tabs>
        <w:tab w:val="center" w:pos="4153"/>
        <w:tab w:val="right" w:pos="8306"/>
      </w:tabs>
    </w:pPr>
  </w:style>
  <w:style w:type="character" w:customStyle="1" w:styleId="ac">
    <w:name w:val="Нижній колонтитул Знак"/>
    <w:basedOn w:val="a0"/>
    <w:link w:val="ab"/>
    <w:uiPriority w:val="99"/>
    <w:rsid w:val="00B735A1"/>
    <w:rPr>
      <w:rFonts w:ascii="Times New Roman" w:eastAsia="Times New Roman" w:hAnsi="Times New Roman" w:cs="Times New Roman"/>
      <w:sz w:val="20"/>
      <w:szCs w:val="20"/>
      <w:lang w:eastAsia="ru-RU"/>
    </w:rPr>
  </w:style>
  <w:style w:type="character" w:styleId="ad">
    <w:name w:val="page number"/>
    <w:basedOn w:val="a0"/>
    <w:rsid w:val="00B735A1"/>
  </w:style>
  <w:style w:type="paragraph" w:styleId="ae">
    <w:name w:val="header"/>
    <w:basedOn w:val="a"/>
    <w:link w:val="af"/>
    <w:uiPriority w:val="99"/>
    <w:rsid w:val="00B735A1"/>
    <w:pPr>
      <w:tabs>
        <w:tab w:val="center" w:pos="4153"/>
        <w:tab w:val="right" w:pos="8306"/>
      </w:tabs>
    </w:pPr>
  </w:style>
  <w:style w:type="character" w:customStyle="1" w:styleId="af">
    <w:name w:val="Верхній колонтитул Знак"/>
    <w:basedOn w:val="a0"/>
    <w:link w:val="ae"/>
    <w:uiPriority w:val="99"/>
    <w:rsid w:val="00B735A1"/>
    <w:rPr>
      <w:rFonts w:ascii="Times New Roman" w:eastAsia="Times New Roman" w:hAnsi="Times New Roman" w:cs="Times New Roman"/>
      <w:sz w:val="20"/>
      <w:szCs w:val="20"/>
      <w:lang w:eastAsia="ru-RU"/>
    </w:rPr>
  </w:style>
  <w:style w:type="paragraph" w:customStyle="1" w:styleId="11">
    <w:name w:val="Знак Знак1"/>
    <w:basedOn w:val="a"/>
    <w:rsid w:val="00B735A1"/>
    <w:rPr>
      <w:rFonts w:ascii="Verdana" w:hAnsi="Verdana" w:cs="Verdana"/>
      <w:lang w:val="en-US" w:eastAsia="en-US"/>
    </w:rPr>
  </w:style>
  <w:style w:type="paragraph" w:customStyle="1" w:styleId="af0">
    <w:name w:val="Знак Знак Знак Знак Знак"/>
    <w:basedOn w:val="a"/>
    <w:rsid w:val="00B735A1"/>
    <w:rPr>
      <w:rFonts w:ascii="Verdana" w:hAnsi="Verdana" w:cs="Verdana"/>
      <w:lang w:val="en-US" w:eastAsia="en-US"/>
    </w:rPr>
  </w:style>
  <w:style w:type="paragraph" w:customStyle="1" w:styleId="af1">
    <w:name w:val="Знак Знак Знак"/>
    <w:basedOn w:val="a"/>
    <w:rsid w:val="00B735A1"/>
    <w:rPr>
      <w:rFonts w:ascii="Verdana" w:hAnsi="Verdana" w:cs="Verdana"/>
      <w:lang w:val="en-US" w:eastAsia="en-US"/>
    </w:rPr>
  </w:style>
  <w:style w:type="paragraph" w:customStyle="1" w:styleId="af2">
    <w:name w:val="Знак Знак"/>
    <w:basedOn w:val="a"/>
    <w:rsid w:val="00B735A1"/>
    <w:rPr>
      <w:rFonts w:ascii="Verdana" w:hAnsi="Verdana" w:cs="Verdana"/>
      <w:lang w:val="en-US" w:eastAsia="en-US"/>
    </w:rPr>
  </w:style>
  <w:style w:type="paragraph" w:styleId="af3">
    <w:name w:val="Balloon Text"/>
    <w:basedOn w:val="a"/>
    <w:link w:val="af4"/>
    <w:uiPriority w:val="99"/>
    <w:rsid w:val="00B735A1"/>
    <w:rPr>
      <w:rFonts w:ascii="Segoe UI" w:hAnsi="Segoe UI" w:cs="Segoe UI"/>
      <w:sz w:val="18"/>
      <w:szCs w:val="18"/>
    </w:rPr>
  </w:style>
  <w:style w:type="character" w:customStyle="1" w:styleId="af4">
    <w:name w:val="Текст у виносці Знак"/>
    <w:basedOn w:val="a0"/>
    <w:link w:val="af3"/>
    <w:uiPriority w:val="99"/>
    <w:rsid w:val="00B735A1"/>
    <w:rPr>
      <w:rFonts w:ascii="Segoe UI" w:eastAsia="Times New Roman" w:hAnsi="Segoe UI" w:cs="Segoe UI"/>
      <w:sz w:val="18"/>
      <w:szCs w:val="18"/>
      <w:lang w:eastAsia="ru-RU"/>
    </w:rPr>
  </w:style>
  <w:style w:type="paragraph" w:customStyle="1" w:styleId="8">
    <w:name w:val="Знак Знак8"/>
    <w:basedOn w:val="a"/>
    <w:rsid w:val="00B735A1"/>
    <w:rPr>
      <w:rFonts w:ascii="Verdana" w:hAnsi="Verdana" w:cs="Verdana"/>
      <w:lang w:val="en-US" w:eastAsia="en-US"/>
    </w:rPr>
  </w:style>
  <w:style w:type="paragraph" w:customStyle="1" w:styleId="7">
    <w:name w:val="Знак Знак7"/>
    <w:basedOn w:val="a"/>
    <w:rsid w:val="00B735A1"/>
    <w:rPr>
      <w:rFonts w:ascii="Verdana" w:hAnsi="Verdana" w:cs="Verdana"/>
      <w:lang w:val="en-US" w:eastAsia="en-US"/>
    </w:rPr>
  </w:style>
  <w:style w:type="paragraph" w:customStyle="1" w:styleId="6">
    <w:name w:val="Знак Знак6"/>
    <w:basedOn w:val="a"/>
    <w:rsid w:val="00B735A1"/>
    <w:rPr>
      <w:rFonts w:ascii="Verdana" w:hAnsi="Verdana" w:cs="Verdana"/>
      <w:lang w:val="en-US" w:eastAsia="en-US"/>
    </w:rPr>
  </w:style>
  <w:style w:type="paragraph" w:customStyle="1" w:styleId="5">
    <w:name w:val="Знак Знак5"/>
    <w:basedOn w:val="a"/>
    <w:rsid w:val="00B735A1"/>
    <w:rPr>
      <w:rFonts w:ascii="Verdana" w:hAnsi="Verdana" w:cs="Verdana"/>
      <w:lang w:val="en-US" w:eastAsia="en-US"/>
    </w:rPr>
  </w:style>
  <w:style w:type="character" w:styleId="af5">
    <w:name w:val="Placeholder Text"/>
    <w:basedOn w:val="a0"/>
    <w:uiPriority w:val="99"/>
    <w:semiHidden/>
    <w:rsid w:val="00B735A1"/>
    <w:rPr>
      <w:color w:val="808080"/>
    </w:rPr>
  </w:style>
  <w:style w:type="paragraph" w:customStyle="1" w:styleId="4">
    <w:name w:val="Знак Знак4"/>
    <w:basedOn w:val="a"/>
    <w:rsid w:val="00B735A1"/>
    <w:rPr>
      <w:rFonts w:ascii="Verdana" w:hAnsi="Verdana" w:cs="Verdana"/>
      <w:lang w:val="en-US" w:eastAsia="en-US"/>
    </w:rPr>
  </w:style>
  <w:style w:type="paragraph" w:styleId="af6">
    <w:name w:val="List Paragraph"/>
    <w:basedOn w:val="a"/>
    <w:uiPriority w:val="34"/>
    <w:qFormat/>
    <w:rsid w:val="00B735A1"/>
    <w:pPr>
      <w:spacing w:after="160" w:line="259" w:lineRule="auto"/>
      <w:ind w:left="720"/>
      <w:contextualSpacing/>
    </w:pPr>
    <w:rPr>
      <w:rFonts w:ascii="Calibri" w:eastAsia="Calibri" w:hAnsi="Calibri"/>
      <w:sz w:val="22"/>
      <w:szCs w:val="22"/>
      <w:lang w:eastAsia="en-US"/>
    </w:rPr>
  </w:style>
  <w:style w:type="paragraph" w:customStyle="1" w:styleId="31">
    <w:name w:val="Знак Знак3"/>
    <w:basedOn w:val="a"/>
    <w:rsid w:val="00B735A1"/>
    <w:rPr>
      <w:rFonts w:ascii="Verdana" w:hAnsi="Verdana" w:cs="Verdana"/>
      <w:lang w:val="en-US" w:eastAsia="en-US"/>
    </w:rPr>
  </w:style>
  <w:style w:type="paragraph" w:customStyle="1" w:styleId="23">
    <w:name w:val="Знак Знак2"/>
    <w:basedOn w:val="a"/>
    <w:rsid w:val="00B735A1"/>
    <w:rPr>
      <w:rFonts w:ascii="Verdana" w:hAnsi="Verdana" w:cs="Verdana"/>
      <w:lang w:val="en-US" w:eastAsia="en-US"/>
    </w:rPr>
  </w:style>
  <w:style w:type="character" w:styleId="af7">
    <w:name w:val="Hyperlink"/>
    <w:basedOn w:val="a0"/>
    <w:rsid w:val="00B735A1"/>
    <w:rPr>
      <w:color w:val="0563C1" w:themeColor="hyperlink"/>
      <w:u w:val="single"/>
    </w:rPr>
  </w:style>
  <w:style w:type="character" w:styleId="af8">
    <w:name w:val="FollowedHyperlink"/>
    <w:basedOn w:val="a0"/>
    <w:rsid w:val="00B735A1"/>
    <w:rPr>
      <w:color w:val="954F72" w:themeColor="followedHyperlink"/>
      <w:u w:val="single"/>
    </w:rPr>
  </w:style>
  <w:style w:type="paragraph" w:customStyle="1" w:styleId="af9">
    <w:name w:val="Знак Знак"/>
    <w:basedOn w:val="a"/>
    <w:rsid w:val="00A51F21"/>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urostat/statistics-explained/index.php/EU_statistics_on_income_and_living_conditions_(EU-SILC)_methodology"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image" Target="../media/image1.jpeg"/></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a:pPr>
            <a:r>
              <a:rPr lang="uk-UA" sz="1100" b="1"/>
              <a:t>Структура сукупних ресурсів домогосподарств</a:t>
            </a:r>
          </a:p>
        </c:rich>
      </c:tx>
      <c:layout>
        <c:manualLayout>
          <c:xMode val="edge"/>
          <c:yMode val="edge"/>
          <c:x val="0.25935872436008195"/>
          <c:y val="0"/>
        </c:manualLayout>
      </c:layout>
      <c:overlay val="0"/>
      <c:spPr>
        <a:noFill/>
        <a:ln w="25399">
          <a:noFill/>
        </a:ln>
      </c:spPr>
    </c:title>
    <c:autoTitleDeleted val="0"/>
    <c:plotArea>
      <c:layout>
        <c:manualLayout>
          <c:layoutTarget val="inner"/>
          <c:xMode val="edge"/>
          <c:yMode val="edge"/>
          <c:x val="9.3905232033224248E-2"/>
          <c:y val="0.19582430244999863"/>
          <c:w val="0.87676416623470654"/>
          <c:h val="0.61838733572937543"/>
        </c:manualLayout>
      </c:layout>
      <c:barChart>
        <c:barDir val="col"/>
        <c:grouping val="clustered"/>
        <c:varyColors val="0"/>
        <c:ser>
          <c:idx val="0"/>
          <c:order val="0"/>
          <c:tx>
            <c:strRef>
              <c:f>Лист1!$A$2</c:f>
              <c:strCache>
                <c:ptCount val="1"/>
                <c:pt idx="0">
                  <c:v>2019 рік</c:v>
                </c:pt>
              </c:strCache>
            </c:strRef>
          </c:tx>
          <c:spPr>
            <a:pattFill prst="ltDn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1.3559064610594584E-3"/>
                  <c:y val="-2.089307464017975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6CB-495D-AC52-925FABDEA8BB}"/>
                </c:ext>
              </c:extLst>
            </c:dLbl>
            <c:dLbl>
              <c:idx val="1"/>
              <c:layout>
                <c:manualLayout>
                  <c:x val="-4.518422538954403E-4"/>
                  <c:y val="-1.22004357298475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6CB-495D-AC52-925FABDEA8BB}"/>
                </c:ext>
              </c:extLst>
            </c:dLbl>
            <c:dLbl>
              <c:idx val="2"/>
              <c:layout>
                <c:manualLayout>
                  <c:x val="-1.4643106320570975E-3"/>
                  <c:y val="-7.69046026109487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6CB-495D-AC52-925FABDEA8BB}"/>
                </c:ext>
              </c:extLst>
            </c:dLbl>
            <c:dLbl>
              <c:idx val="3"/>
              <c:layout>
                <c:manualLayout>
                  <c:x val="-2.2601605179098927E-3"/>
                  <c:y val="-7.320261437908537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6CB-495D-AC52-925FABDEA8BB}"/>
                </c:ext>
              </c:extLst>
            </c:dLbl>
            <c:spPr>
              <a:noFill/>
              <a:ln w="25399">
                <a:noFill/>
              </a:ln>
            </c:spPr>
            <c:txPr>
              <a:bodyPr/>
              <a:lstStyle/>
              <a:p>
                <a:pPr>
                  <a:defRPr sz="9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Доходи від зайнятості*</c:v>
                </c:pt>
                <c:pt idx="1">
                  <c:v>Пенсії, стипендії, соціальні допомоги</c:v>
                </c:pt>
                <c:pt idx="2">
                  <c:v>Доходи від особистого підсобного господарства**</c:v>
                </c:pt>
                <c:pt idx="3">
                  <c:v>Допомога від родичів, інших осіб та інші надходження</c:v>
                </c:pt>
              </c:strCache>
            </c:strRef>
          </c:cat>
          <c:val>
            <c:numRef>
              <c:f>Лист1!$B$2:$E$2</c:f>
              <c:numCache>
                <c:formatCode>0.0</c:formatCode>
                <c:ptCount val="4"/>
                <c:pt idx="0">
                  <c:v>63.8</c:v>
                </c:pt>
                <c:pt idx="1">
                  <c:v>20.3</c:v>
                </c:pt>
                <c:pt idx="2">
                  <c:v>6</c:v>
                </c:pt>
                <c:pt idx="3">
                  <c:v>9.9</c:v>
                </c:pt>
              </c:numCache>
            </c:numRef>
          </c:val>
          <c:extLst>
            <c:ext xmlns:c16="http://schemas.microsoft.com/office/drawing/2014/chart" uri="{C3380CC4-5D6E-409C-BE32-E72D297353CC}">
              <c16:uniqueId val="{00000004-C6CB-495D-AC52-925FABDEA8BB}"/>
            </c:ext>
          </c:extLst>
        </c:ser>
        <c:ser>
          <c:idx val="1"/>
          <c:order val="1"/>
          <c:tx>
            <c:strRef>
              <c:f>Лист1!$A$3</c:f>
              <c:strCache>
                <c:ptCount val="1"/>
                <c:pt idx="0">
                  <c:v>2020 рік</c:v>
                </c:pt>
              </c:strCache>
            </c:strRef>
          </c:tx>
          <c:spPr>
            <a:solidFill>
              <a:schemeClr val="accent2">
                <a:lumMod val="60000"/>
                <a:lumOff val="40000"/>
              </a:schemeClr>
            </a:solidFill>
            <a:ln w="12700">
              <a:solidFill>
                <a:srgbClr val="000000"/>
              </a:solidFill>
              <a:prstDash val="solid"/>
            </a:ln>
          </c:spPr>
          <c:invertIfNegative val="0"/>
          <c:dLbls>
            <c:dLbl>
              <c:idx val="1"/>
              <c:layout>
                <c:manualLayout>
                  <c:x val="5.7199812048810417E-3"/>
                  <c:y val="3.15921294151955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6CB-495D-AC52-925FABDEA8BB}"/>
                </c:ext>
              </c:extLst>
            </c:dLbl>
            <c:dLbl>
              <c:idx val="2"/>
              <c:layout>
                <c:manualLayout>
                  <c:x val="4.7075128267194399E-3"/>
                  <c:y val="2.244180261780970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6CB-495D-AC52-925FABDEA8BB}"/>
                </c:ext>
              </c:extLst>
            </c:dLbl>
            <c:dLbl>
              <c:idx val="3"/>
              <c:layout>
                <c:manualLayout>
                  <c:x val="5.7199812048810417E-3"/>
                  <c:y val="-2.265795206971676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6CB-495D-AC52-925FABDEA8BB}"/>
                </c:ext>
              </c:extLst>
            </c:dLbl>
            <c:spPr>
              <a:noFill/>
              <a:ln w="25399">
                <a:noFill/>
              </a:ln>
            </c:spPr>
            <c:txPr>
              <a:bodyPr/>
              <a:lstStyle/>
              <a:p>
                <a:pPr>
                  <a:defRPr sz="9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Доходи від зайнятості*</c:v>
                </c:pt>
                <c:pt idx="1">
                  <c:v>Пенсії, стипендії, соціальні допомоги</c:v>
                </c:pt>
                <c:pt idx="2">
                  <c:v>Доходи від особистого підсобного господарства**</c:v>
                </c:pt>
                <c:pt idx="3">
                  <c:v>Допомога від родичів, інших осіб та інші надходження</c:v>
                </c:pt>
              </c:strCache>
            </c:strRef>
          </c:cat>
          <c:val>
            <c:numRef>
              <c:f>Лист1!$B$3:$E$3</c:f>
              <c:numCache>
                <c:formatCode>0.0</c:formatCode>
                <c:ptCount val="4"/>
                <c:pt idx="0">
                  <c:v>64.099999999999994</c:v>
                </c:pt>
                <c:pt idx="1">
                  <c:v>21.2</c:v>
                </c:pt>
                <c:pt idx="2">
                  <c:v>5.5</c:v>
                </c:pt>
                <c:pt idx="3">
                  <c:v>9.1999999999999993</c:v>
                </c:pt>
              </c:numCache>
            </c:numRef>
          </c:val>
          <c:extLst>
            <c:ext xmlns:c16="http://schemas.microsoft.com/office/drawing/2014/chart" uri="{C3380CC4-5D6E-409C-BE32-E72D297353CC}">
              <c16:uniqueId val="{00000008-C6CB-495D-AC52-925FABDEA8BB}"/>
            </c:ext>
          </c:extLst>
        </c:ser>
        <c:dLbls>
          <c:showLegendKey val="0"/>
          <c:showVal val="0"/>
          <c:showCatName val="0"/>
          <c:showSerName val="0"/>
          <c:showPercent val="0"/>
          <c:showBubbleSize val="0"/>
        </c:dLbls>
        <c:gapWidth val="260"/>
        <c:axId val="151241216"/>
        <c:axId val="151241776"/>
      </c:barChart>
      <c:catAx>
        <c:axId val="151241216"/>
        <c:scaling>
          <c:orientation val="minMax"/>
        </c:scaling>
        <c:delete val="0"/>
        <c:axPos val="b"/>
        <c:title>
          <c:tx>
            <c:rich>
              <a:bodyPr/>
              <a:lstStyle/>
              <a:p>
                <a:pPr>
                  <a:defRPr/>
                </a:pPr>
                <a:r>
                  <a:rPr lang="uk-UA"/>
                  <a:t>%</a:t>
                </a:r>
              </a:p>
            </c:rich>
          </c:tx>
          <c:layout>
            <c:manualLayout>
              <c:xMode val="edge"/>
              <c:yMode val="edge"/>
              <c:x val="7.5259013621409243E-2"/>
              <c:y val="8.1484448590267669E-2"/>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900"/>
            </a:pPr>
            <a:endParaRPr lang="uk-UA"/>
          </a:p>
        </c:txPr>
        <c:crossAx val="151241776"/>
        <c:crosses val="autoZero"/>
        <c:auto val="1"/>
        <c:lblAlgn val="ctr"/>
        <c:lblOffset val="100"/>
        <c:tickLblSkip val="1"/>
        <c:tickMarkSkip val="1"/>
        <c:noMultiLvlLbl val="0"/>
      </c:catAx>
      <c:valAx>
        <c:axId val="151241776"/>
        <c:scaling>
          <c:orientation val="minMax"/>
        </c:scaling>
        <c:delete val="0"/>
        <c:axPos val="l"/>
        <c:majorGridlines>
          <c:spPr>
            <a:ln w="3175">
              <a:solidFill>
                <a:srgbClr val="C0C0C0"/>
              </a:solidFill>
              <a:prstDash val="sysDash"/>
            </a:ln>
          </c:spPr>
        </c:majorGridlines>
        <c:numFmt formatCode="0.0" sourceLinked="1"/>
        <c:majorTickMark val="out"/>
        <c:minorTickMark val="none"/>
        <c:tickLblPos val="nextTo"/>
        <c:spPr>
          <a:ln w="3175">
            <a:solidFill>
              <a:srgbClr val="000000"/>
            </a:solidFill>
            <a:prstDash val="solid"/>
          </a:ln>
        </c:spPr>
        <c:txPr>
          <a:bodyPr rot="0" vert="horz"/>
          <a:lstStyle/>
          <a:p>
            <a:pPr>
              <a:defRPr/>
            </a:pPr>
            <a:endParaRPr lang="uk-UA"/>
          </a:p>
        </c:txPr>
        <c:crossAx val="151241216"/>
        <c:crosses val="autoZero"/>
        <c:crossBetween val="between"/>
      </c:valAx>
      <c:spPr>
        <a:solidFill>
          <a:srgbClr val="FFFFFF"/>
        </a:solidFill>
        <a:ln w="12700">
          <a:solidFill>
            <a:srgbClr val="FFFFFF"/>
          </a:solidFill>
          <a:prstDash val="sysDash"/>
        </a:ln>
      </c:spPr>
    </c:plotArea>
    <c:legend>
      <c:legendPos val="r"/>
      <c:layout>
        <c:manualLayout>
          <c:xMode val="edge"/>
          <c:yMode val="edge"/>
          <c:x val="0.7920433770230132"/>
          <c:y val="0.18509040028533019"/>
          <c:w val="0.11296028435317058"/>
          <c:h val="0.12280538103468774"/>
        </c:manualLayout>
      </c:layout>
      <c:overlay val="0"/>
      <c:spPr>
        <a:solidFill>
          <a:srgbClr val="FFFFFF"/>
        </a:solidFill>
        <a:ln w="3175">
          <a:solidFill>
            <a:srgbClr val="000000"/>
          </a:solidFill>
          <a:prstDash val="solid"/>
        </a:ln>
      </c:spPr>
      <c:txPr>
        <a:bodyPr/>
        <a:lstStyle/>
        <a:p>
          <a:pPr>
            <a:defRPr sz="900"/>
          </a:pPr>
          <a:endParaRPr lang="uk-UA"/>
        </a:p>
      </c:txPr>
    </c:legend>
    <c:plotVisOnly val="1"/>
    <c:dispBlanksAs val="gap"/>
    <c:showDLblsOverMax val="0"/>
  </c:chart>
  <c:spPr>
    <a:solidFill>
      <a:srgbClr val="FFFFFF"/>
    </a:solidFill>
    <a:ln>
      <a:noFill/>
    </a:ln>
  </c:spPr>
  <c:txPr>
    <a:bodyPr/>
    <a:lstStyle/>
    <a:p>
      <a:pPr>
        <a:defRPr sz="825" b="0"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8" b="1" i="0" u="none" strike="noStrike" baseline="0">
                <a:solidFill>
                  <a:srgbClr val="000000"/>
                </a:solidFill>
                <a:latin typeface="Times New Roman"/>
                <a:ea typeface="Times New Roman"/>
                <a:cs typeface="Times New Roman"/>
              </a:defRPr>
            </a:pPr>
            <a:r>
              <a:rPr lang="uk-UA"/>
              <a:t>Структура сукупних витрат домогосподарств </a:t>
            </a:r>
          </a:p>
        </c:rich>
      </c:tx>
      <c:layout>
        <c:manualLayout>
          <c:xMode val="edge"/>
          <c:yMode val="edge"/>
          <c:x val="0.20707964601769913"/>
          <c:y val="0"/>
        </c:manualLayout>
      </c:layout>
      <c:overlay val="0"/>
      <c:spPr>
        <a:noFill/>
        <a:ln w="25356">
          <a:noFill/>
        </a:ln>
      </c:spPr>
    </c:title>
    <c:autoTitleDeleted val="0"/>
    <c:plotArea>
      <c:layout>
        <c:manualLayout>
          <c:layoutTarget val="inner"/>
          <c:xMode val="edge"/>
          <c:yMode val="edge"/>
          <c:x val="5.8407079646017698E-2"/>
          <c:y val="0.14924799880441988"/>
          <c:w val="0.93097345132743359"/>
          <c:h val="0.67169931160740137"/>
        </c:manualLayout>
      </c:layout>
      <c:barChart>
        <c:barDir val="col"/>
        <c:grouping val="clustered"/>
        <c:varyColors val="0"/>
        <c:ser>
          <c:idx val="0"/>
          <c:order val="0"/>
          <c:tx>
            <c:strRef>
              <c:f>Лист1!$B$1</c:f>
              <c:strCache>
                <c:ptCount val="1"/>
                <c:pt idx="0">
                  <c:v>2019</c:v>
                </c:pt>
              </c:strCache>
            </c:strRef>
          </c:tx>
          <c:spPr>
            <a:noFill/>
            <a:ln w="12678">
              <a:solidFill>
                <a:srgbClr val="000000"/>
              </a:solidFill>
              <a:prstDash val="solid"/>
            </a:ln>
          </c:spPr>
          <c:invertIfNegative val="0"/>
          <c:dLbls>
            <c:dLbl>
              <c:idx val="0"/>
              <c:layout>
                <c:manualLayout>
                  <c:x val="1.0725384990592779E-3"/>
                  <c:y val="-6.8643718385776598E-3"/>
                </c:manualLayout>
              </c:layout>
              <c:tx>
                <c:rich>
                  <a:bodyPr/>
                  <a:lstStyle/>
                  <a:p>
                    <a:pPr>
                      <a:defRPr sz="900" b="0" i="0" u="none" strike="noStrike" baseline="0">
                        <a:solidFill>
                          <a:srgbClr val="000000"/>
                        </a:solidFill>
                        <a:latin typeface="Times New Roman"/>
                        <a:ea typeface="Times New Roman"/>
                        <a:cs typeface="Times New Roman"/>
                      </a:defRPr>
                    </a:pPr>
                    <a:r>
                      <a:rPr lang="en-US"/>
                      <a:t>48,5</a:t>
                    </a:r>
                  </a:p>
                </c:rich>
              </c:tx>
              <c:spPr>
                <a:noFill/>
                <a:ln w="25356">
                  <a:noFill/>
                </a:ln>
              </c:sp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0FC-48D4-8DAA-0D98649B361B}"/>
                </c:ext>
              </c:extLst>
            </c:dLbl>
            <c:dLbl>
              <c:idx val="1"/>
              <c:layout>
                <c:manualLayout>
                  <c:x val="2.0459637667242813E-3"/>
                  <c:y val="-3.6648555461923552E-4"/>
                </c:manualLayout>
              </c:layout>
              <c:tx>
                <c:rich>
                  <a:bodyPr/>
                  <a:lstStyle/>
                  <a:p>
                    <a:pPr>
                      <a:defRPr sz="900" b="0" i="0" u="none" strike="noStrike" baseline="0">
                        <a:solidFill>
                          <a:srgbClr val="000000"/>
                        </a:solidFill>
                        <a:latin typeface="Times New Roman"/>
                        <a:ea typeface="Times New Roman"/>
                        <a:cs typeface="Times New Roman"/>
                      </a:defRPr>
                    </a:pPr>
                    <a:r>
                      <a:rPr lang="en-US"/>
                      <a:t>1,2</a:t>
                    </a:r>
                  </a:p>
                </c:rich>
              </c:tx>
              <c:spPr>
                <a:noFill/>
                <a:ln w="25356">
                  <a:noFill/>
                </a:ln>
              </c:sp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FC-48D4-8DAA-0D98649B361B}"/>
                </c:ext>
              </c:extLst>
            </c:dLbl>
            <c:dLbl>
              <c:idx val="2"/>
              <c:layout>
                <c:manualLayout>
                  <c:x val="3.4620062736060433E-3"/>
                  <c:y val="-5.6154419811914654E-3"/>
                </c:manualLayout>
              </c:layout>
              <c:tx>
                <c:rich>
                  <a:bodyPr/>
                  <a:lstStyle/>
                  <a:p>
                    <a:pPr>
                      <a:defRPr sz="900" b="0" i="0" u="none" strike="noStrike" baseline="0">
                        <a:solidFill>
                          <a:srgbClr val="000000"/>
                        </a:solidFill>
                        <a:latin typeface="Times New Roman"/>
                        <a:ea typeface="Times New Roman"/>
                        <a:cs typeface="Times New Roman"/>
                      </a:defRPr>
                    </a:pPr>
                    <a:r>
                      <a:rPr lang="en-US"/>
                      <a:t>2,0</a:t>
                    </a:r>
                  </a:p>
                </c:rich>
              </c:tx>
              <c:spPr>
                <a:noFill/>
                <a:ln w="25356">
                  <a:noFill/>
                </a:ln>
              </c:sp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0FC-48D4-8DAA-0D98649B361B}"/>
                </c:ext>
              </c:extLst>
            </c:dLbl>
            <c:dLbl>
              <c:idx val="3"/>
              <c:layout>
                <c:manualLayout>
                  <c:x val="5.3203261096788079E-3"/>
                  <c:y val="-5.7276173811606768E-3"/>
                </c:manualLayout>
              </c:layout>
              <c:tx>
                <c:rich>
                  <a:bodyPr/>
                  <a:lstStyle/>
                  <a:p>
                    <a:pPr>
                      <a:defRPr sz="900" b="0" i="0" u="none" strike="noStrike" baseline="0">
                        <a:solidFill>
                          <a:srgbClr val="000000"/>
                        </a:solidFill>
                        <a:latin typeface="Times New Roman"/>
                        <a:ea typeface="Times New Roman"/>
                        <a:cs typeface="Times New Roman"/>
                      </a:defRPr>
                    </a:pPr>
                    <a:r>
                      <a:rPr lang="en-US"/>
                      <a:t>39,6</a:t>
                    </a:r>
                  </a:p>
                </c:rich>
              </c:tx>
              <c:spPr>
                <a:noFill/>
                <a:ln w="25356">
                  <a:noFill/>
                </a:ln>
              </c:sp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0FC-48D4-8DAA-0D98649B361B}"/>
                </c:ext>
              </c:extLst>
            </c:dLbl>
            <c:dLbl>
              <c:idx val="4"/>
              <c:layout>
                <c:manualLayout>
                  <c:x val="2.7540008826330009E-3"/>
                  <c:y val="-5.4532838567593611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0FC-48D4-8DAA-0D98649B361B}"/>
                </c:ext>
              </c:extLst>
            </c:dLbl>
            <c:spPr>
              <a:noFill/>
              <a:ln w="25356">
                <a:noFill/>
              </a:ln>
            </c:spPr>
            <c:txPr>
              <a:bodyPr wrap="square" lIns="38100" tIns="19050" rIns="38100" bIns="19050" anchor="ctr">
                <a:spAutoFit/>
              </a:bodyPr>
              <a:lstStyle/>
              <a:p>
                <a:pPr>
                  <a:defRPr sz="9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На харчування* </c:v>
                </c:pt>
                <c:pt idx="1">
                  <c:v>На алкогольні напої</c:v>
                </c:pt>
                <c:pt idx="2">
                  <c:v>На тютюнові вироби</c:v>
                </c:pt>
                <c:pt idx="3">
                  <c:v>На непродовольчі товари і послуги**</c:v>
                </c:pt>
                <c:pt idx="4">
                  <c:v>Інші витрати</c:v>
                </c:pt>
              </c:strCache>
            </c:strRef>
          </c:cat>
          <c:val>
            <c:numRef>
              <c:f>Лист1!$B$2:$B$6</c:f>
              <c:numCache>
                <c:formatCode>0.0</c:formatCode>
                <c:ptCount val="5"/>
                <c:pt idx="0">
                  <c:v>48.5</c:v>
                </c:pt>
                <c:pt idx="1">
                  <c:v>1.2</c:v>
                </c:pt>
                <c:pt idx="2">
                  <c:v>2</c:v>
                </c:pt>
                <c:pt idx="3">
                  <c:v>39.6</c:v>
                </c:pt>
                <c:pt idx="4">
                  <c:v>8.6999999999999993</c:v>
                </c:pt>
              </c:numCache>
            </c:numRef>
          </c:val>
          <c:extLst>
            <c:ext xmlns:c16="http://schemas.microsoft.com/office/drawing/2014/chart" uri="{C3380CC4-5D6E-409C-BE32-E72D297353CC}">
              <c16:uniqueId val="{00000005-20FC-48D4-8DAA-0D98649B361B}"/>
            </c:ext>
          </c:extLst>
        </c:ser>
        <c:ser>
          <c:idx val="1"/>
          <c:order val="1"/>
          <c:tx>
            <c:strRef>
              <c:f>Лист1!$C$1</c:f>
              <c:strCache>
                <c:ptCount val="1"/>
                <c:pt idx="0">
                  <c:v>2020</c:v>
                </c:pt>
              </c:strCache>
            </c:strRef>
          </c:tx>
          <c:spPr>
            <a:blipFill>
              <a:blip xmlns:r="http://schemas.openxmlformats.org/officeDocument/2006/relationships" r:embed="rId1"/>
              <a:tile tx="0" ty="0" sx="100000" sy="100000" flip="none" algn="tl"/>
            </a:blipFill>
            <a:ln w="12678">
              <a:solidFill>
                <a:srgbClr val="000000"/>
              </a:solidFill>
              <a:prstDash val="solid"/>
            </a:ln>
          </c:spPr>
          <c:invertIfNegative val="0"/>
          <c:dLbls>
            <c:dLbl>
              <c:idx val="0"/>
              <c:layout>
                <c:manualLayout>
                  <c:x val="6.9865514598285716E-3"/>
                  <c:y val="-6.8197222473627417E-3"/>
                </c:manualLayout>
              </c:layout>
              <c:tx>
                <c:rich>
                  <a:bodyPr/>
                  <a:lstStyle/>
                  <a:p>
                    <a:pPr>
                      <a:defRPr sz="900" b="0" i="0" u="none" strike="noStrike" baseline="0">
                        <a:solidFill>
                          <a:srgbClr val="000000"/>
                        </a:solidFill>
                        <a:latin typeface="Times New Roman"/>
                        <a:ea typeface="Times New Roman"/>
                        <a:cs typeface="Times New Roman"/>
                      </a:defRPr>
                    </a:pPr>
                    <a:r>
                      <a:rPr lang="en-US"/>
                      <a:t>49,2</a:t>
                    </a:r>
                  </a:p>
                </c:rich>
              </c:tx>
              <c:spPr>
                <a:noFill/>
                <a:ln w="25356">
                  <a:noFill/>
                </a:ln>
              </c:sp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0FC-48D4-8DAA-0D98649B361B}"/>
                </c:ext>
              </c:extLst>
            </c:dLbl>
            <c:dLbl>
              <c:idx val="1"/>
              <c:layout>
                <c:manualLayout>
                  <c:x val="2.650314728358083E-3"/>
                  <c:y val="-3.7228105107550702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0FC-48D4-8DAA-0D98649B361B}"/>
                </c:ext>
              </c:extLst>
            </c:dLbl>
            <c:dLbl>
              <c:idx val="2"/>
              <c:layout>
                <c:manualLayout>
                  <c:x val="0"/>
                  <c:y val="-9.8400984009841003E-3"/>
                </c:manualLayout>
              </c:layout>
              <c:tx>
                <c:rich>
                  <a:bodyPr/>
                  <a:lstStyle/>
                  <a:p>
                    <a:r>
                      <a:rPr lang="en-US"/>
                      <a:t>2,3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0FC-48D4-8DAA-0D98649B361B}"/>
                </c:ext>
              </c:extLst>
            </c:dLbl>
            <c:dLbl>
              <c:idx val="3"/>
              <c:layout>
                <c:manualLayout>
                  <c:x val="1.1234339070448018E-2"/>
                  <c:y val="8.1354773182087392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0FC-48D4-8DAA-0D98649B361B}"/>
                </c:ext>
              </c:extLst>
            </c:dLbl>
            <c:dLbl>
              <c:idx val="4"/>
              <c:layout>
                <c:manualLayout>
                  <c:x val="5.1281908345527372E-3"/>
                  <c:y val="6.4178759264287288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0FC-48D4-8DAA-0D98649B361B}"/>
                </c:ext>
              </c:extLst>
            </c:dLbl>
            <c:spPr>
              <a:noFill/>
              <a:ln w="25356">
                <a:noFill/>
              </a:ln>
            </c:spPr>
            <c:txPr>
              <a:bodyPr wrap="square" lIns="38100" tIns="19050" rIns="38100" bIns="19050" anchor="ctr">
                <a:spAutoFit/>
              </a:bodyPr>
              <a:lstStyle/>
              <a:p>
                <a:pPr>
                  <a:defRPr sz="9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На харчування* </c:v>
                </c:pt>
                <c:pt idx="1">
                  <c:v>На алкогольні напої</c:v>
                </c:pt>
                <c:pt idx="2">
                  <c:v>На тютюнові вироби</c:v>
                </c:pt>
                <c:pt idx="3">
                  <c:v>На непродовольчі товари і послуги**</c:v>
                </c:pt>
                <c:pt idx="4">
                  <c:v>Інші витрати</c:v>
                </c:pt>
              </c:strCache>
            </c:strRef>
          </c:cat>
          <c:val>
            <c:numRef>
              <c:f>Лист1!$C$2:$C$6</c:f>
              <c:numCache>
                <c:formatCode>General</c:formatCode>
                <c:ptCount val="5"/>
                <c:pt idx="0" formatCode="0.0">
                  <c:v>49.2</c:v>
                </c:pt>
                <c:pt idx="1">
                  <c:v>1.2</c:v>
                </c:pt>
                <c:pt idx="2" formatCode="0.0">
                  <c:v>2.2999999999999998</c:v>
                </c:pt>
                <c:pt idx="3" formatCode="0.0">
                  <c:v>38.700000000000003</c:v>
                </c:pt>
                <c:pt idx="4" formatCode="0.0">
                  <c:v>8.6</c:v>
                </c:pt>
              </c:numCache>
            </c:numRef>
          </c:val>
          <c:extLst>
            <c:ext xmlns:c16="http://schemas.microsoft.com/office/drawing/2014/chart" uri="{C3380CC4-5D6E-409C-BE32-E72D297353CC}">
              <c16:uniqueId val="{0000000B-20FC-48D4-8DAA-0D98649B361B}"/>
            </c:ext>
          </c:extLst>
        </c:ser>
        <c:dLbls>
          <c:showLegendKey val="0"/>
          <c:showVal val="0"/>
          <c:showCatName val="0"/>
          <c:showSerName val="0"/>
          <c:showPercent val="0"/>
          <c:showBubbleSize val="0"/>
        </c:dLbls>
        <c:gapWidth val="210"/>
        <c:axId val="151244576"/>
        <c:axId val="151245136"/>
      </c:barChart>
      <c:catAx>
        <c:axId val="151244576"/>
        <c:scaling>
          <c:orientation val="minMax"/>
        </c:scaling>
        <c:delete val="0"/>
        <c:axPos val="b"/>
        <c:title>
          <c:tx>
            <c:rich>
              <a:bodyPr/>
              <a:lstStyle/>
              <a:p>
                <a:pPr>
                  <a:defRPr sz="800" b="0" i="0" u="none" strike="noStrike" baseline="0">
                    <a:solidFill>
                      <a:srgbClr val="000000"/>
                    </a:solidFill>
                    <a:latin typeface="Times New Roman"/>
                    <a:ea typeface="Times New Roman"/>
                    <a:cs typeface="Times New Roman"/>
                  </a:defRPr>
                </a:pPr>
                <a:r>
                  <a:rPr lang="uk-UA" sz="800"/>
                  <a:t>%</a:t>
                </a:r>
              </a:p>
            </c:rich>
          </c:tx>
          <c:layout>
            <c:manualLayout>
              <c:xMode val="edge"/>
              <c:yMode val="edge"/>
              <c:x val="4.424776171271274E-2"/>
              <c:y val="7.9927891575830606E-2"/>
            </c:manualLayout>
          </c:layout>
          <c:overlay val="0"/>
          <c:spPr>
            <a:noFill/>
            <a:ln w="25356">
              <a:noFill/>
            </a:ln>
          </c:spPr>
        </c:title>
        <c:numFmt formatCode="General" sourceLinked="1"/>
        <c:majorTickMark val="out"/>
        <c:minorTickMark val="none"/>
        <c:tickLblPos val="nextTo"/>
        <c:spPr>
          <a:ln w="3169">
            <a:solidFill>
              <a:srgbClr val="000000"/>
            </a:solidFill>
            <a:prstDash val="solid"/>
          </a:ln>
        </c:spPr>
        <c:txPr>
          <a:bodyPr rot="0" vert="horz"/>
          <a:lstStyle/>
          <a:p>
            <a:pPr>
              <a:defRPr sz="950" b="0" i="0" u="none" strike="noStrike" baseline="0">
                <a:solidFill>
                  <a:srgbClr val="000000"/>
                </a:solidFill>
                <a:latin typeface="Times New Roman"/>
                <a:ea typeface="Times New Roman"/>
                <a:cs typeface="Times New Roman"/>
              </a:defRPr>
            </a:pPr>
            <a:endParaRPr lang="uk-UA"/>
          </a:p>
        </c:txPr>
        <c:crossAx val="151245136"/>
        <c:crosses val="autoZero"/>
        <c:auto val="1"/>
        <c:lblAlgn val="ctr"/>
        <c:lblOffset val="100"/>
        <c:tickLblSkip val="1"/>
        <c:tickMarkSkip val="1"/>
        <c:noMultiLvlLbl val="0"/>
      </c:catAx>
      <c:valAx>
        <c:axId val="151245136"/>
        <c:scaling>
          <c:orientation val="minMax"/>
        </c:scaling>
        <c:delete val="0"/>
        <c:axPos val="l"/>
        <c:majorGridlines>
          <c:spPr>
            <a:ln w="3169">
              <a:solidFill>
                <a:srgbClr val="FFFFFF"/>
              </a:solidFill>
              <a:prstDash val="solid"/>
            </a:ln>
          </c:spPr>
        </c:majorGridlines>
        <c:numFmt formatCode="0.0" sourceLinked="1"/>
        <c:majorTickMark val="out"/>
        <c:minorTickMark val="none"/>
        <c:tickLblPos val="nextTo"/>
        <c:spPr>
          <a:ln w="3169">
            <a:solidFill>
              <a:srgbClr val="000000"/>
            </a:solidFill>
            <a:prstDash val="solid"/>
          </a:ln>
        </c:spPr>
        <c:txPr>
          <a:bodyPr rot="0" vert="horz"/>
          <a:lstStyle/>
          <a:p>
            <a:pPr>
              <a:defRPr sz="900" b="0" i="0" u="none" strike="noStrike" baseline="0">
                <a:solidFill>
                  <a:srgbClr val="000000"/>
                </a:solidFill>
                <a:latin typeface="Times New Roman"/>
                <a:ea typeface="Times New Roman"/>
                <a:cs typeface="Times New Roman"/>
              </a:defRPr>
            </a:pPr>
            <a:endParaRPr lang="uk-UA"/>
          </a:p>
        </c:txPr>
        <c:crossAx val="151244576"/>
        <c:crosses val="autoZero"/>
        <c:crossBetween val="between"/>
      </c:valAx>
      <c:spPr>
        <a:solidFill>
          <a:srgbClr val="FFFFFF"/>
        </a:solidFill>
        <a:ln w="12678">
          <a:solidFill>
            <a:srgbClr val="FFFFFF"/>
          </a:solidFill>
          <a:prstDash val="solid"/>
        </a:ln>
      </c:spPr>
    </c:plotArea>
    <c:legend>
      <c:legendPos val="r"/>
      <c:layout>
        <c:manualLayout>
          <c:xMode val="edge"/>
          <c:yMode val="edge"/>
          <c:x val="0.8294224807264946"/>
          <c:y val="0.13355247260759071"/>
          <c:w val="9.6021290021674116E-2"/>
          <c:h val="0.16146689997083699"/>
        </c:manualLayout>
      </c:layout>
      <c:overlay val="0"/>
      <c:spPr>
        <a:solidFill>
          <a:srgbClr val="FFFFFF"/>
        </a:solidFill>
        <a:ln w="3169">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998"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98" b="0" i="0" u="none" strike="noStrike" baseline="0">
                <a:solidFill>
                  <a:srgbClr val="000000"/>
                </a:solidFill>
                <a:latin typeface="Times New Roman"/>
                <a:ea typeface="Times New Roman"/>
                <a:cs typeface="Times New Roman"/>
              </a:defRPr>
            </a:pPr>
            <a:r>
              <a:rPr lang="uk-UA" sz="1050" b="1" i="0" u="none" strike="noStrike" baseline="0">
                <a:solidFill>
                  <a:srgbClr val="000000"/>
                </a:solidFill>
                <a:latin typeface="Times New Roman"/>
                <a:cs typeface="Times New Roman"/>
              </a:rPr>
              <a:t>Споживання продуктів харчування  домогосподарствами</a:t>
            </a:r>
            <a:r>
              <a:rPr lang="uk-UA" sz="1198" b="1" i="0" u="none" strike="noStrike" baseline="0">
                <a:solidFill>
                  <a:srgbClr val="000000"/>
                </a:solidFill>
                <a:latin typeface="Times New Roman"/>
                <a:cs typeface="Times New Roman"/>
              </a:rPr>
              <a:t>  </a:t>
            </a:r>
            <a:r>
              <a:rPr lang="uk-UA" sz="998" b="0" i="0" u="none" strike="noStrike" baseline="0">
                <a:solidFill>
                  <a:srgbClr val="000000"/>
                </a:solidFill>
                <a:latin typeface="Times New Roman"/>
                <a:cs typeface="Times New Roman"/>
              </a:rPr>
              <a:t>                                                                                  </a:t>
            </a:r>
            <a:r>
              <a:rPr lang="uk-UA" sz="900" b="0" i="0" u="none" strike="noStrike" baseline="0">
                <a:solidFill>
                  <a:srgbClr val="000000"/>
                </a:solidFill>
                <a:latin typeface="Times New Roman"/>
                <a:cs typeface="Times New Roman"/>
              </a:rPr>
              <a:t>(у середньому за місяць у розрахунку на одну особу, кг)</a:t>
            </a:r>
          </a:p>
        </c:rich>
      </c:tx>
      <c:layout>
        <c:manualLayout>
          <c:xMode val="edge"/>
          <c:yMode val="edge"/>
          <c:x val="0.18876641509248981"/>
          <c:y val="0"/>
        </c:manualLayout>
      </c:layout>
      <c:overlay val="0"/>
      <c:spPr>
        <a:noFill/>
        <a:ln w="25358">
          <a:noFill/>
        </a:ln>
      </c:spPr>
    </c:title>
    <c:autoTitleDeleted val="0"/>
    <c:plotArea>
      <c:layout>
        <c:manualLayout>
          <c:layoutTarget val="inner"/>
          <c:xMode val="edge"/>
          <c:yMode val="edge"/>
          <c:x val="7.4539919903662183E-2"/>
          <c:y val="0.19348243703579607"/>
          <c:w val="0.86926094707138579"/>
          <c:h val="0.35914899216985063"/>
        </c:manualLayout>
      </c:layout>
      <c:barChart>
        <c:barDir val="col"/>
        <c:grouping val="clustered"/>
        <c:varyColors val="0"/>
        <c:ser>
          <c:idx val="1"/>
          <c:order val="0"/>
          <c:tx>
            <c:strRef>
              <c:f>Лист3!$B$1</c:f>
              <c:strCache>
                <c:ptCount val="1"/>
                <c:pt idx="0">
                  <c:v>2019</c:v>
                </c:pt>
              </c:strCache>
            </c:strRef>
          </c:tx>
          <c:spPr>
            <a:solidFill>
              <a:schemeClr val="accent2">
                <a:lumMod val="40000"/>
                <a:lumOff val="60000"/>
              </a:schemeClr>
            </a:solidFill>
            <a:ln w="12679">
              <a:solidFill>
                <a:srgbClr val="000000"/>
              </a:solidFill>
              <a:prstDash val="solid"/>
            </a:ln>
          </c:spPr>
          <c:invertIfNegative val="0"/>
          <c:dPt>
            <c:idx val="3"/>
            <c:invertIfNegative val="0"/>
            <c:bubble3D val="0"/>
            <c:extLst>
              <c:ext xmlns:c16="http://schemas.microsoft.com/office/drawing/2014/chart" uri="{C3380CC4-5D6E-409C-BE32-E72D297353CC}">
                <c16:uniqueId val="{00000000-E66C-47EF-93D2-F6033A025505}"/>
              </c:ext>
            </c:extLst>
          </c:dPt>
          <c:dLbls>
            <c:dLbl>
              <c:idx val="0"/>
              <c:layout>
                <c:manualLayout>
                  <c:x val="-8.4305515322290398E-4"/>
                  <c:y val="9.7813145697213374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66C-47EF-93D2-F6033A025505}"/>
                </c:ext>
              </c:extLst>
            </c:dLbl>
            <c:dLbl>
              <c:idx val="1"/>
              <c:layout>
                <c:manualLayout>
                  <c:x val="-8.5966957957210599E-3"/>
                  <c:y val="5.1048938031682201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66C-47EF-93D2-F6033A025505}"/>
                </c:ext>
              </c:extLst>
            </c:dLbl>
            <c:dLbl>
              <c:idx val="2"/>
              <c:layout>
                <c:manualLayout>
                  <c:x val="-1.3588376328167007E-2"/>
                  <c:y val="3.6716740194709718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66C-47EF-93D2-F6033A025505}"/>
                </c:ext>
              </c:extLst>
            </c:dLbl>
            <c:dLbl>
              <c:idx val="3"/>
              <c:layout>
                <c:manualLayout>
                  <c:x val="1.9413794011534512E-3"/>
                  <c:y val="0.15344278773663925"/>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66C-47EF-93D2-F6033A025505}"/>
                </c:ext>
              </c:extLst>
            </c:dLbl>
            <c:dLbl>
              <c:idx val="4"/>
              <c:layout>
                <c:manualLayout>
                  <c:x val="-6.4115731352978869E-3"/>
                  <c:y val="0.10815621451573873"/>
                </c:manualLayout>
              </c:layout>
              <c:tx>
                <c:rich>
                  <a:bodyPr/>
                  <a:lstStyle/>
                  <a:p>
                    <a:pPr>
                      <a:defRPr sz="800" b="0" i="0" u="none" strike="noStrike" baseline="0">
                        <a:solidFill>
                          <a:srgbClr val="000000"/>
                        </a:solidFill>
                        <a:latin typeface="Times New Roman"/>
                        <a:ea typeface="Times New Roman"/>
                        <a:cs typeface="Times New Roman"/>
                      </a:defRPr>
                    </a:pPr>
                    <a:r>
                      <a:rPr lang="en-US" sz="800"/>
                      <a:t>20</a:t>
                    </a:r>
                  </a:p>
                </c:rich>
              </c:tx>
              <c:spPr>
                <a:solidFill>
                  <a:srgbClr val="FFFFFF"/>
                </a:solidFill>
                <a:ln w="3170">
                  <a:solidFill>
                    <a:srgbClr val="000000"/>
                  </a:solidFill>
                  <a:prstDash val="solid"/>
                </a:ln>
              </c:sp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66C-47EF-93D2-F6033A025505}"/>
                </c:ext>
              </c:extLst>
            </c:dLbl>
            <c:dLbl>
              <c:idx val="5"/>
              <c:layout>
                <c:manualLayout>
                  <c:x val="-1.5252269838982313E-2"/>
                  <c:y val="3.0880661193946501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66C-47EF-93D2-F6033A025505}"/>
                </c:ext>
              </c:extLst>
            </c:dLbl>
            <c:dLbl>
              <c:idx val="6"/>
              <c:layout>
                <c:manualLayout>
                  <c:x val="-1.3588376328167007E-2"/>
                  <c:y val="4.055844083319371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66C-47EF-93D2-F6033A025505}"/>
                </c:ext>
              </c:extLst>
            </c:dLbl>
            <c:dLbl>
              <c:idx val="7"/>
              <c:layout>
                <c:manualLayout>
                  <c:x val="1.3865992503445431E-3"/>
                  <c:y val="8.7248934308743323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66C-47EF-93D2-F6033A025505}"/>
                </c:ext>
              </c:extLst>
            </c:dLbl>
            <c:dLbl>
              <c:idx val="8"/>
              <c:layout>
                <c:manualLayout>
                  <c:x val="3.6051931635635846E-3"/>
                  <c:y val="0.1067522942610897"/>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66C-47EF-93D2-F6033A025505}"/>
                </c:ext>
              </c:extLst>
            </c:dLbl>
            <c:dLbl>
              <c:idx val="9"/>
              <c:layout>
                <c:manualLayout>
                  <c:x val="3.0505587799860567E-3"/>
                  <c:y val="4.3661510396306835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66C-47EF-93D2-F6033A025505}"/>
                </c:ext>
              </c:extLst>
            </c:dLbl>
            <c:spPr>
              <a:solidFill>
                <a:srgbClr val="FFFFFF"/>
              </a:solidFill>
              <a:ln w="3170">
                <a:solidFill>
                  <a:srgbClr val="000000"/>
                </a:solidFill>
                <a:prstDash val="solid"/>
              </a:ln>
            </c:spPr>
            <c:txPr>
              <a:bodyPr wrap="square" lIns="38100" tIns="19050" rIns="38100" bIns="19050" anchor="ctr">
                <a:spAutoFit/>
              </a:bodyPr>
              <a:lstStyle/>
              <a:p>
                <a:pPr>
                  <a:defRPr sz="8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Лист3!$A$2:$A$11</c:f>
              <c:strCache>
                <c:ptCount val="10"/>
                <c:pt idx="0">
                  <c:v>Хліб і хлібні продукти</c:v>
                </c:pt>
                <c:pt idx="1">
                  <c:v>М 'ясо і м'ясопродукти</c:v>
                </c:pt>
                <c:pt idx="2">
                  <c:v>Риба і рибопродукти</c:v>
                </c:pt>
                <c:pt idx="3">
                  <c:v>Молоко та молокопродукти</c:v>
                </c:pt>
                <c:pt idx="4">
                  <c:v>Яйця, шт.</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Лист3!$B$2:$B$11</c:f>
              <c:numCache>
                <c:formatCode>0.0</c:formatCode>
                <c:ptCount val="10"/>
                <c:pt idx="0">
                  <c:v>8.1</c:v>
                </c:pt>
                <c:pt idx="1">
                  <c:v>5.0999999999999996</c:v>
                </c:pt>
                <c:pt idx="2">
                  <c:v>1.5</c:v>
                </c:pt>
                <c:pt idx="3">
                  <c:v>19</c:v>
                </c:pt>
                <c:pt idx="4" formatCode="0">
                  <c:v>20</c:v>
                </c:pt>
                <c:pt idx="5">
                  <c:v>1.4</c:v>
                </c:pt>
                <c:pt idx="6">
                  <c:v>4</c:v>
                </c:pt>
                <c:pt idx="7">
                  <c:v>6.2</c:v>
                </c:pt>
                <c:pt idx="8">
                  <c:v>8.8000000000000007</c:v>
                </c:pt>
                <c:pt idx="9">
                  <c:v>2.6</c:v>
                </c:pt>
              </c:numCache>
            </c:numRef>
          </c:val>
          <c:extLst>
            <c:ext xmlns:c16="http://schemas.microsoft.com/office/drawing/2014/chart" uri="{C3380CC4-5D6E-409C-BE32-E72D297353CC}">
              <c16:uniqueId val="{0000000A-E66C-47EF-93D2-F6033A025505}"/>
            </c:ext>
          </c:extLst>
        </c:ser>
        <c:dLbls>
          <c:showLegendKey val="0"/>
          <c:showVal val="0"/>
          <c:showCatName val="0"/>
          <c:showSerName val="0"/>
          <c:showPercent val="0"/>
          <c:showBubbleSize val="0"/>
        </c:dLbls>
        <c:gapWidth val="180"/>
        <c:axId val="151247936"/>
        <c:axId val="151248496"/>
      </c:barChart>
      <c:lineChart>
        <c:grouping val="standard"/>
        <c:varyColors val="0"/>
        <c:ser>
          <c:idx val="0"/>
          <c:order val="1"/>
          <c:tx>
            <c:strRef>
              <c:f>Лист3!$C$1</c:f>
              <c:strCache>
                <c:ptCount val="1"/>
                <c:pt idx="0">
                  <c:v>2020</c:v>
                </c:pt>
              </c:strCache>
            </c:strRef>
          </c:tx>
          <c:spPr>
            <a:ln w="1267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3.3000641974661654E-2"/>
                  <c:y val="-4.292250702704714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66C-47EF-93D2-F6033A025505}"/>
                </c:ext>
              </c:extLst>
            </c:dLbl>
            <c:dLbl>
              <c:idx val="1"/>
              <c:layout>
                <c:manualLayout>
                  <c:x val="-1.9689451041072656E-2"/>
                  <c:y val="-3.9631814825375242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66C-47EF-93D2-F6033A025505}"/>
                </c:ext>
              </c:extLst>
            </c:dLbl>
            <c:dLbl>
              <c:idx val="2"/>
              <c:layout>
                <c:manualLayout>
                  <c:x val="-3.7992330228279504E-2"/>
                  <c:y val="-6.0888294255697216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66C-47EF-93D2-F6033A025505}"/>
                </c:ext>
              </c:extLst>
            </c:dLbl>
            <c:dLbl>
              <c:idx val="3"/>
              <c:layout>
                <c:manualLayout>
                  <c:x val="-3.9466318525913667E-2"/>
                  <c:y val="-3.820761959072668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E66C-47EF-93D2-F6033A025505}"/>
                </c:ext>
              </c:extLst>
            </c:dLbl>
            <c:dLbl>
              <c:idx val="4"/>
              <c:layout>
                <c:manualLayout>
                  <c:x val="-1.55673163805344E-2"/>
                  <c:y val="-3.4629584950906206E-2"/>
                </c:manualLayout>
              </c:layout>
              <c:tx>
                <c:rich>
                  <a:bodyPr/>
                  <a:lstStyle/>
                  <a:p>
                    <a:pPr>
                      <a:defRPr sz="800" b="0" i="0" u="none" strike="noStrike" baseline="0">
                        <a:solidFill>
                          <a:srgbClr val="000000"/>
                        </a:solidFill>
                        <a:latin typeface="Times New Roman"/>
                        <a:ea typeface="Times New Roman"/>
                        <a:cs typeface="Times New Roman"/>
                      </a:defRPr>
                    </a:pPr>
                    <a:r>
                      <a:rPr lang="en-US" sz="800"/>
                      <a:t>19</a:t>
                    </a:r>
                  </a:p>
                </c:rich>
              </c:tx>
              <c:spPr>
                <a:noFill/>
                <a:ln w="25358">
                  <a:noFill/>
                </a:ln>
              </c:sp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66C-47EF-93D2-F6033A025505}"/>
                </c:ext>
              </c:extLst>
            </c:dLbl>
            <c:dLbl>
              <c:idx val="5"/>
              <c:layout>
                <c:manualLayout>
                  <c:x val="-1.7184112102193908E-2"/>
                  <c:y val="-4.561577435132593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E66C-47EF-93D2-F6033A025505}"/>
                </c:ext>
              </c:extLst>
            </c:dLbl>
            <c:dLbl>
              <c:idx val="6"/>
              <c:layout>
                <c:manualLayout>
                  <c:x val="-1.8094386883938739E-2"/>
                  <c:y val="-4.346632158445382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E66C-47EF-93D2-F6033A025505}"/>
                </c:ext>
              </c:extLst>
            </c:dLbl>
            <c:dLbl>
              <c:idx val="7"/>
              <c:layout>
                <c:manualLayout>
                  <c:x val="-2.468117442058515E-2"/>
                  <c:y val="-4.048472664321212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E66C-47EF-93D2-F6033A025505}"/>
                </c:ext>
              </c:extLst>
            </c:dLbl>
            <c:dLbl>
              <c:idx val="8"/>
              <c:layout>
                <c:manualLayout>
                  <c:x val="-2.8008961442215763E-2"/>
                  <c:y val="-4.683792185551272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E66C-47EF-93D2-F6033A025505}"/>
                </c:ext>
              </c:extLst>
            </c:dLbl>
            <c:dLbl>
              <c:idx val="9"/>
              <c:layout>
                <c:manualLayout>
                  <c:x val="-2.3428587301250137E-2"/>
                  <c:y val="-5.2935903903376984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E66C-47EF-93D2-F6033A025505}"/>
                </c:ext>
              </c:extLst>
            </c:dLbl>
            <c:spPr>
              <a:noFill/>
              <a:ln w="25358">
                <a:noFill/>
              </a:ln>
            </c:spPr>
            <c:txPr>
              <a:bodyPr wrap="square" lIns="38100" tIns="19050" rIns="38100" bIns="19050" anchor="ctr">
                <a:spAutoFit/>
              </a:bodyPr>
              <a:lstStyle/>
              <a:p>
                <a:pPr>
                  <a:defRPr sz="8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Лист3!$A$2:$A$11</c:f>
              <c:strCache>
                <c:ptCount val="10"/>
                <c:pt idx="0">
                  <c:v>Хліб і хлібні продукти</c:v>
                </c:pt>
                <c:pt idx="1">
                  <c:v>М 'ясо і м'ясопродукти</c:v>
                </c:pt>
                <c:pt idx="2">
                  <c:v>Риба і рибопродукти</c:v>
                </c:pt>
                <c:pt idx="3">
                  <c:v>Молоко та молокопродукти</c:v>
                </c:pt>
                <c:pt idx="4">
                  <c:v>Яйця, шт.</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Лист3!$C$2:$C$11</c:f>
              <c:numCache>
                <c:formatCode>0.0</c:formatCode>
                <c:ptCount val="10"/>
                <c:pt idx="0">
                  <c:v>8</c:v>
                </c:pt>
                <c:pt idx="1">
                  <c:v>5.2</c:v>
                </c:pt>
                <c:pt idx="2">
                  <c:v>1.4</c:v>
                </c:pt>
                <c:pt idx="3">
                  <c:v>18.899999999999999</c:v>
                </c:pt>
                <c:pt idx="4" formatCode="0">
                  <c:v>19</c:v>
                </c:pt>
                <c:pt idx="5">
                  <c:v>1.4</c:v>
                </c:pt>
                <c:pt idx="6">
                  <c:v>3.7</c:v>
                </c:pt>
                <c:pt idx="7">
                  <c:v>6</c:v>
                </c:pt>
                <c:pt idx="8">
                  <c:v>8.6999999999999993</c:v>
                </c:pt>
                <c:pt idx="9">
                  <c:v>2.4</c:v>
                </c:pt>
              </c:numCache>
            </c:numRef>
          </c:val>
          <c:smooth val="0"/>
          <c:extLst>
            <c:ext xmlns:c16="http://schemas.microsoft.com/office/drawing/2014/chart" uri="{C3380CC4-5D6E-409C-BE32-E72D297353CC}">
              <c16:uniqueId val="{00000015-E66C-47EF-93D2-F6033A025505}"/>
            </c:ext>
          </c:extLst>
        </c:ser>
        <c:dLbls>
          <c:showLegendKey val="0"/>
          <c:showVal val="0"/>
          <c:showCatName val="0"/>
          <c:showSerName val="0"/>
          <c:showPercent val="0"/>
          <c:showBubbleSize val="0"/>
        </c:dLbls>
        <c:marker val="1"/>
        <c:smooth val="0"/>
        <c:axId val="151249056"/>
        <c:axId val="151249616"/>
      </c:lineChart>
      <c:catAx>
        <c:axId val="151247936"/>
        <c:scaling>
          <c:orientation val="minMax"/>
        </c:scaling>
        <c:delete val="0"/>
        <c:axPos val="b"/>
        <c:numFmt formatCode="General" sourceLinked="1"/>
        <c:majorTickMark val="cross"/>
        <c:minorTickMark val="none"/>
        <c:tickLblPos val="nextTo"/>
        <c:spPr>
          <a:ln w="3170">
            <a:solidFill>
              <a:srgbClr val="000000"/>
            </a:solidFill>
            <a:prstDash val="solid"/>
          </a:ln>
        </c:spPr>
        <c:txPr>
          <a:bodyPr rot="-5400000" vert="horz"/>
          <a:lstStyle/>
          <a:p>
            <a:pPr>
              <a:defRPr sz="950" b="0" i="0" u="none" strike="noStrike" baseline="0">
                <a:solidFill>
                  <a:srgbClr val="000000"/>
                </a:solidFill>
                <a:latin typeface="Times New Roman"/>
                <a:ea typeface="Times New Roman"/>
                <a:cs typeface="Times New Roman"/>
              </a:defRPr>
            </a:pPr>
            <a:endParaRPr lang="uk-UA"/>
          </a:p>
        </c:txPr>
        <c:crossAx val="151248496"/>
        <c:crosses val="autoZero"/>
        <c:auto val="0"/>
        <c:lblAlgn val="ctr"/>
        <c:lblOffset val="100"/>
        <c:tickLblSkip val="1"/>
        <c:tickMarkSkip val="1"/>
        <c:noMultiLvlLbl val="0"/>
      </c:catAx>
      <c:valAx>
        <c:axId val="151248496"/>
        <c:scaling>
          <c:orientation val="minMax"/>
          <c:max val="24"/>
        </c:scaling>
        <c:delete val="0"/>
        <c:axPos val="l"/>
        <c:title>
          <c:tx>
            <c:rich>
              <a:bodyPr rot="0" vert="horz"/>
              <a:lstStyle/>
              <a:p>
                <a:pPr algn="ctr">
                  <a:defRPr sz="900" b="0" i="0" u="none" strike="noStrike" baseline="0">
                    <a:solidFill>
                      <a:srgbClr val="000000"/>
                    </a:solidFill>
                    <a:latin typeface="Times New Roman"/>
                    <a:ea typeface="Times New Roman"/>
                    <a:cs typeface="Times New Roman"/>
                  </a:defRPr>
                </a:pPr>
                <a:r>
                  <a:rPr lang="uk-UA" sz="900"/>
                  <a:t>кг</a:t>
                </a:r>
              </a:p>
            </c:rich>
          </c:tx>
          <c:layout>
            <c:manualLayout>
              <c:xMode val="edge"/>
              <c:yMode val="edge"/>
              <c:x val="6.4145532856328208E-2"/>
              <c:y val="0.1149658305095764"/>
            </c:manualLayout>
          </c:layout>
          <c:overlay val="0"/>
          <c:spPr>
            <a:noFill/>
            <a:ln w="25358">
              <a:noFill/>
            </a:ln>
          </c:spPr>
        </c:title>
        <c:numFmt formatCode="0.0" sourceLinked="1"/>
        <c:majorTickMark val="cross"/>
        <c:minorTickMark val="none"/>
        <c:tickLblPos val="nextTo"/>
        <c:spPr>
          <a:ln w="3170">
            <a:solidFill>
              <a:srgbClr val="000000"/>
            </a:solidFill>
            <a:prstDash val="solid"/>
          </a:ln>
        </c:spPr>
        <c:txPr>
          <a:bodyPr rot="0" vert="horz"/>
          <a:lstStyle/>
          <a:p>
            <a:pPr>
              <a:defRPr sz="900" b="0" i="0" u="none" strike="noStrike" baseline="0">
                <a:solidFill>
                  <a:srgbClr val="000000"/>
                </a:solidFill>
                <a:latin typeface="Times New Roman"/>
                <a:ea typeface="Times New Roman"/>
                <a:cs typeface="Times New Roman"/>
              </a:defRPr>
            </a:pPr>
            <a:endParaRPr lang="uk-UA"/>
          </a:p>
        </c:txPr>
        <c:crossAx val="151247936"/>
        <c:crosses val="autoZero"/>
        <c:crossBetween val="between"/>
        <c:majorUnit val="4"/>
        <c:minorUnit val="0.8"/>
      </c:valAx>
      <c:catAx>
        <c:axId val="151249056"/>
        <c:scaling>
          <c:orientation val="minMax"/>
        </c:scaling>
        <c:delete val="1"/>
        <c:axPos val="b"/>
        <c:numFmt formatCode="General" sourceLinked="1"/>
        <c:majorTickMark val="out"/>
        <c:minorTickMark val="none"/>
        <c:tickLblPos val="nextTo"/>
        <c:crossAx val="151249616"/>
        <c:crosses val="autoZero"/>
        <c:auto val="0"/>
        <c:lblAlgn val="ctr"/>
        <c:lblOffset val="100"/>
        <c:noMultiLvlLbl val="0"/>
      </c:catAx>
      <c:valAx>
        <c:axId val="151249616"/>
        <c:scaling>
          <c:orientation val="minMax"/>
        </c:scaling>
        <c:delete val="1"/>
        <c:axPos val="l"/>
        <c:numFmt formatCode="0.0" sourceLinked="1"/>
        <c:majorTickMark val="out"/>
        <c:minorTickMark val="none"/>
        <c:tickLblPos val="nextTo"/>
        <c:crossAx val="151249056"/>
        <c:crosses val="autoZero"/>
        <c:crossBetween val="between"/>
      </c:valAx>
      <c:spPr>
        <a:noFill/>
        <a:ln w="25358">
          <a:noFill/>
        </a:ln>
      </c:spPr>
    </c:plotArea>
    <c:legend>
      <c:legendPos val="b"/>
      <c:layout>
        <c:manualLayout>
          <c:xMode val="edge"/>
          <c:yMode val="edge"/>
          <c:x val="0.78349316109298328"/>
          <c:y val="0.11856790881641188"/>
          <c:w val="0.12920803969850314"/>
          <c:h val="9.9962421131898904E-2"/>
        </c:manualLayout>
      </c:layout>
      <c:overlay val="0"/>
      <c:spPr>
        <a:solidFill>
          <a:srgbClr val="FFFFFF"/>
        </a:solidFill>
        <a:ln w="6350">
          <a:solidFill>
            <a:schemeClr val="tx1"/>
          </a:solidFill>
          <a:prstDash val="solid"/>
        </a:ln>
      </c:spPr>
      <c:txPr>
        <a:bodyPr/>
        <a:lstStyle/>
        <a:p>
          <a:pPr>
            <a:defRPr sz="918" b="0" i="0" u="none" strike="noStrike" baseline="0">
              <a:ln>
                <a:noFill/>
              </a:ln>
              <a:solidFill>
                <a:schemeClr val="tx1"/>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7" b="0" i="0" u="none" strike="noStrike" baseline="0">
                <a:solidFill>
                  <a:srgbClr val="000000"/>
                </a:solidFill>
                <a:latin typeface="Arial Cyr"/>
                <a:ea typeface="Arial Cyr"/>
                <a:cs typeface="Arial Cyr"/>
              </a:defRPr>
            </a:pPr>
            <a:r>
              <a:rPr lang="uk-UA" sz="1050" b="1" i="0" u="none" strike="noStrike" baseline="0">
                <a:solidFill>
                  <a:srgbClr val="000000"/>
                </a:solidFill>
                <a:latin typeface="Times New Roman"/>
                <a:cs typeface="Times New Roman"/>
              </a:rPr>
              <a:t>Споживання продуктів харчування у домогосподарствах </a:t>
            </a:r>
            <a:br>
              <a:rPr lang="uk-UA" sz="1050" b="1" i="0" u="none" strike="noStrike" baseline="0">
                <a:solidFill>
                  <a:srgbClr val="000000"/>
                </a:solidFill>
                <a:latin typeface="Times New Roman"/>
                <a:cs typeface="Times New Roman"/>
              </a:rPr>
            </a:br>
            <a:r>
              <a:rPr lang="uk-UA" sz="1050" b="1" i="0" u="none" strike="noStrike" baseline="0">
                <a:solidFill>
                  <a:srgbClr val="000000"/>
                </a:solidFill>
                <a:latin typeface="Times New Roman"/>
                <a:cs typeface="Times New Roman"/>
              </a:rPr>
              <a:t>з дітьми та без дітей </a:t>
            </a:r>
            <a:endParaRPr lang="uk-UA" sz="1050" b="0" i="0" u="none" strike="noStrike" baseline="0">
              <a:solidFill>
                <a:srgbClr val="000000"/>
              </a:solidFill>
              <a:latin typeface="Arial Cyr"/>
              <a:cs typeface="Arial Cyr"/>
            </a:endParaRPr>
          </a:p>
          <a:p>
            <a:pPr>
              <a:defRPr sz="797" b="0" i="0" u="none" strike="noStrike" baseline="0">
                <a:solidFill>
                  <a:srgbClr val="000000"/>
                </a:solidFill>
                <a:latin typeface="Arial Cyr"/>
                <a:ea typeface="Arial Cyr"/>
                <a:cs typeface="Arial Cyr"/>
              </a:defRPr>
            </a:pPr>
            <a:r>
              <a:rPr lang="uk-UA" sz="900" b="0" i="0" u="none" strike="noStrike" baseline="0">
                <a:solidFill>
                  <a:srgbClr val="000000"/>
                </a:solidFill>
                <a:latin typeface="Times New Roman"/>
                <a:cs typeface="Times New Roman"/>
              </a:rPr>
              <a:t>(у середньому за місяць у розрахунку на одну особу, кг)</a:t>
            </a:r>
          </a:p>
        </c:rich>
      </c:tx>
      <c:layout>
        <c:manualLayout>
          <c:xMode val="edge"/>
          <c:yMode val="edge"/>
          <c:x val="0.22139179002624673"/>
          <c:y val="0"/>
        </c:manualLayout>
      </c:layout>
      <c:overlay val="0"/>
      <c:spPr>
        <a:noFill/>
        <a:ln w="25372">
          <a:noFill/>
        </a:ln>
      </c:spPr>
    </c:title>
    <c:autoTitleDeleted val="0"/>
    <c:plotArea>
      <c:layout>
        <c:manualLayout>
          <c:layoutTarget val="inner"/>
          <c:xMode val="edge"/>
          <c:yMode val="edge"/>
          <c:x val="5.984556769113538E-2"/>
          <c:y val="0.16772528433945758"/>
          <c:w val="0.94015444015444016"/>
          <c:h val="0.50485436893203883"/>
        </c:manualLayout>
      </c:layout>
      <c:barChart>
        <c:barDir val="col"/>
        <c:grouping val="clustered"/>
        <c:varyColors val="0"/>
        <c:ser>
          <c:idx val="0"/>
          <c:order val="0"/>
          <c:tx>
            <c:strRef>
              <c:f>Лист2!$B$1</c:f>
              <c:strCache>
                <c:ptCount val="1"/>
                <c:pt idx="0">
                  <c:v>Домогосподарства з дітьми</c:v>
                </c:pt>
              </c:strCache>
            </c:strRef>
          </c:tx>
          <c:spPr>
            <a:solidFill>
              <a:schemeClr val="accent6">
                <a:lumMod val="75000"/>
              </a:schemeClr>
            </a:solidFill>
            <a:ln w="12686">
              <a:solidFill>
                <a:srgbClr val="000000"/>
              </a:solidFill>
              <a:prstDash val="solid"/>
            </a:ln>
          </c:spPr>
          <c:invertIfNegative val="0"/>
          <c:dLbls>
            <c:dLbl>
              <c:idx val="0"/>
              <c:layout>
                <c:manualLayout>
                  <c:x val="-5.5351189209457141E-4"/>
                  <c:y val="2.2353031113829802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2F8-4922-9B24-1AD1BA416BE1}"/>
                </c:ext>
              </c:extLst>
            </c:dLbl>
            <c:dLbl>
              <c:idx val="1"/>
              <c:layout>
                <c:manualLayout>
                  <c:x val="-3.8354665126318632E-3"/>
                  <c:y val="3.5556235082264687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2F8-4922-9B24-1AD1BA416BE1}"/>
                </c:ext>
              </c:extLst>
            </c:dLbl>
            <c:dLbl>
              <c:idx val="2"/>
              <c:layout>
                <c:manualLayout>
                  <c:x val="-3.256214594797302E-3"/>
                  <c:y val="3.2447400385631209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2F8-4922-9B24-1AD1BA416BE1}"/>
                </c:ext>
              </c:extLst>
            </c:dLbl>
            <c:dLbl>
              <c:idx val="3"/>
              <c:layout>
                <c:manualLayout>
                  <c:x val="-1.683417951134486E-2"/>
                  <c:y val="-1.3842638602213575E-2"/>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2F8-4922-9B24-1AD1BA416BE1}"/>
                </c:ext>
              </c:extLst>
            </c:dLbl>
            <c:dLbl>
              <c:idx val="4"/>
              <c:layout>
                <c:manualLayout>
                  <c:x val="-8.109121494948579E-4"/>
                  <c:y val="-5.6094929881334021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2F8-4922-9B24-1AD1BA416BE1}"/>
                </c:ext>
              </c:extLst>
            </c:dLbl>
            <c:dLbl>
              <c:idx val="5"/>
              <c:layout>
                <c:manualLayout>
                  <c:x val="-9.2408719180372412E-3"/>
                  <c:y val="5.2642934196331925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2F8-4922-9B24-1AD1BA416BE1}"/>
                </c:ext>
              </c:extLst>
            </c:dLbl>
            <c:dLbl>
              <c:idx val="6"/>
              <c:layout>
                <c:manualLayout>
                  <c:x val="9.9088965230686998E-4"/>
                  <c:y val="3.5814455231930609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2F8-4922-9B24-1AD1BA416BE1}"/>
                </c:ext>
              </c:extLst>
            </c:dLbl>
            <c:dLbl>
              <c:idx val="7"/>
              <c:layout>
                <c:manualLayout>
                  <c:x val="-3.6056303772835641E-4"/>
                  <c:y val="-4.211366783035575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2F8-4922-9B24-1AD1BA416BE1}"/>
                </c:ext>
              </c:extLst>
            </c:dLbl>
            <c:dLbl>
              <c:idx val="8"/>
              <c:layout>
                <c:manualLayout>
                  <c:x val="-3.6423149808976207E-3"/>
                  <c:y val="5.445387287754011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2F8-4922-9B24-1AD1BA416BE1}"/>
                </c:ext>
              </c:extLst>
            </c:dLbl>
            <c:dLbl>
              <c:idx val="9"/>
              <c:layout>
                <c:manualLayout>
                  <c:x val="-3.0632657404311425E-3"/>
                  <c:y val="3.6072675381596531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2F8-4922-9B24-1AD1BA416BE1}"/>
                </c:ext>
              </c:extLst>
            </c:dLbl>
            <c:spPr>
              <a:noFill/>
              <a:ln w="25372">
                <a:noFill/>
              </a:ln>
            </c:spPr>
            <c:txPr>
              <a:bodyPr wrap="square" lIns="38100" tIns="19050" rIns="38100" bIns="19050" anchor="ctr">
                <a:spAutoFit/>
              </a:bodyPr>
              <a:lstStyle/>
              <a:p>
                <a:pPr>
                  <a:defRPr sz="799"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Хліб і хлібні продукти</c:v>
                </c:pt>
                <c:pt idx="1">
                  <c:v>М`ясо і м`ясопродукти</c:v>
                </c:pt>
                <c:pt idx="2">
                  <c:v>Риба і рибопродукти</c:v>
                </c:pt>
                <c:pt idx="3">
                  <c:v>Молоко і молокопродукти</c:v>
                </c:pt>
                <c:pt idx="4">
                  <c:v>Яйця, штук</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Лист2!$B$2:$B$11</c:f>
              <c:numCache>
                <c:formatCode>0.0</c:formatCode>
                <c:ptCount val="10"/>
                <c:pt idx="0">
                  <c:v>6.8</c:v>
                </c:pt>
                <c:pt idx="1">
                  <c:v>4.5999999999999996</c:v>
                </c:pt>
                <c:pt idx="2">
                  <c:v>1.1000000000000001</c:v>
                </c:pt>
                <c:pt idx="3">
                  <c:v>16.600000000000001</c:v>
                </c:pt>
                <c:pt idx="4" formatCode="0">
                  <c:v>18</c:v>
                </c:pt>
                <c:pt idx="5">
                  <c:v>1.2</c:v>
                </c:pt>
                <c:pt idx="6">
                  <c:v>3.5</c:v>
                </c:pt>
                <c:pt idx="7">
                  <c:v>5.2</c:v>
                </c:pt>
                <c:pt idx="8">
                  <c:v>7.3</c:v>
                </c:pt>
                <c:pt idx="9">
                  <c:v>2.2000000000000002</c:v>
                </c:pt>
              </c:numCache>
            </c:numRef>
          </c:val>
          <c:extLst>
            <c:ext xmlns:c16="http://schemas.microsoft.com/office/drawing/2014/chart" uri="{C3380CC4-5D6E-409C-BE32-E72D297353CC}">
              <c16:uniqueId val="{0000000A-32F8-4922-9B24-1AD1BA416BE1}"/>
            </c:ext>
          </c:extLst>
        </c:ser>
        <c:ser>
          <c:idx val="1"/>
          <c:order val="1"/>
          <c:tx>
            <c:strRef>
              <c:f>Лист2!$C$1</c:f>
              <c:strCache>
                <c:ptCount val="1"/>
                <c:pt idx="0">
                  <c:v>Домогосподарства без дітей</c:v>
                </c:pt>
              </c:strCache>
            </c:strRef>
          </c:tx>
          <c:spPr>
            <a:gradFill>
              <a:gsLst>
                <a:gs pos="0">
                  <a:schemeClr val="accent1">
                    <a:lumMod val="5000"/>
                    <a:lumOff val="95000"/>
                  </a:schemeClr>
                </a:gs>
                <a:gs pos="89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686">
              <a:solidFill>
                <a:srgbClr val="000000"/>
              </a:solidFill>
              <a:prstDash val="solid"/>
            </a:ln>
          </c:spPr>
          <c:invertIfNegative val="0"/>
          <c:dLbls>
            <c:dLbl>
              <c:idx val="0"/>
              <c:layout>
                <c:manualLayout>
                  <c:x val="1.1327638099291604E-3"/>
                  <c:y val="2.1316752881618273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2F8-4922-9B24-1AD1BA416BE1}"/>
                </c:ext>
              </c:extLst>
            </c:dLbl>
            <c:dLbl>
              <c:idx val="1"/>
              <c:layout>
                <c:manualLayout>
                  <c:x val="4.2860183017663089E-3"/>
                  <c:y val="2.6739376024598194E-4"/>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32F8-4922-9B24-1AD1BA416BE1}"/>
                </c:ext>
              </c:extLst>
            </c:dLbl>
            <c:dLbl>
              <c:idx val="2"/>
              <c:layout>
                <c:manualLayout>
                  <c:x val="2.9345656117309993E-3"/>
                  <c:y val="1.1997044058812412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32F8-4922-9B24-1AD1BA416BE1}"/>
                </c:ext>
              </c:extLst>
            </c:dLbl>
            <c:dLbl>
              <c:idx val="3"/>
              <c:layout>
                <c:manualLayout>
                  <c:x val="-9.9068697493892577E-4"/>
                  <c:y val="9.4080472950588967E-4"/>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32F8-4922-9B24-1AD1BA416BE1}"/>
                </c:ext>
              </c:extLst>
            </c:dLbl>
            <c:dLbl>
              <c:idx val="4"/>
              <c:layout>
                <c:manualLayout>
                  <c:x val="1.5188641960295346E-3"/>
                  <c:y val="-1.4670981661273064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32F8-4922-9B24-1AD1BA416BE1}"/>
                </c:ext>
              </c:extLst>
            </c:dLbl>
            <c:dLbl>
              <c:idx val="5"/>
              <c:layout>
                <c:manualLayout>
                  <c:x val="2.7416167573647288E-3"/>
                  <c:y val="-2.036541548811277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32F8-4922-9B24-1AD1BA416BE1}"/>
                </c:ext>
              </c:extLst>
            </c:dLbl>
            <c:dLbl>
              <c:idx val="6"/>
              <c:layout>
                <c:manualLayout>
                  <c:x val="5.2511679283332446E-3"/>
                  <c:y val="-1.7001758275362322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32F8-4922-9B24-1AD1BA416BE1}"/>
                </c:ext>
              </c:extLst>
            </c:dLbl>
            <c:dLbl>
              <c:idx val="7"/>
              <c:layout>
                <c:manualLayout>
                  <c:x val="1.9694159851640913E-3"/>
                  <c:y val="-2.2424381418340023E-4"/>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32F8-4922-9B24-1AD1BA416BE1}"/>
                </c:ext>
              </c:extLst>
            </c:dLbl>
            <c:dLbl>
              <c:idx val="8"/>
              <c:layout>
                <c:manualLayout>
                  <c:x val="-2.553734837196231E-5"/>
                  <c:y val="3.710895361380806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32F8-4922-9B24-1AD1BA416BE1}"/>
                </c:ext>
              </c:extLst>
            </c:dLbl>
            <c:dLbl>
              <c:idx val="9"/>
              <c:layout>
                <c:manualLayout>
                  <c:x val="3.1277171434651585E-3"/>
                  <c:y val="-8.7149300512190386E-4"/>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32F8-4922-9B24-1AD1BA416BE1}"/>
                </c:ext>
              </c:extLst>
            </c:dLbl>
            <c:spPr>
              <a:noFill/>
              <a:ln w="25372">
                <a:noFill/>
              </a:ln>
            </c:spPr>
            <c:txPr>
              <a:bodyPr wrap="square" lIns="38100" tIns="19050" rIns="38100" bIns="19050" anchor="ctr">
                <a:spAutoFit/>
              </a:bodyPr>
              <a:lstStyle/>
              <a:p>
                <a:pPr>
                  <a:defRPr sz="8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Хліб і хлібні продукти</c:v>
                </c:pt>
                <c:pt idx="1">
                  <c:v>М`ясо і м`ясопродукти</c:v>
                </c:pt>
                <c:pt idx="2">
                  <c:v>Риба і рибопродукти</c:v>
                </c:pt>
                <c:pt idx="3">
                  <c:v>Молоко і молокопродукти</c:v>
                </c:pt>
                <c:pt idx="4">
                  <c:v>Яйця, штук</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Лист2!$C$2:$C$11</c:f>
              <c:numCache>
                <c:formatCode>0.0</c:formatCode>
                <c:ptCount val="10"/>
                <c:pt idx="0">
                  <c:v>9.3000000000000007</c:v>
                </c:pt>
                <c:pt idx="1">
                  <c:v>5.8</c:v>
                </c:pt>
                <c:pt idx="2">
                  <c:v>1.6</c:v>
                </c:pt>
                <c:pt idx="3">
                  <c:v>21.5</c:v>
                </c:pt>
                <c:pt idx="4" formatCode="0">
                  <c:v>21</c:v>
                </c:pt>
                <c:pt idx="5">
                  <c:v>1.6</c:v>
                </c:pt>
                <c:pt idx="6">
                  <c:v>4</c:v>
                </c:pt>
                <c:pt idx="7">
                  <c:v>6.6</c:v>
                </c:pt>
                <c:pt idx="8">
                  <c:v>10.4</c:v>
                </c:pt>
                <c:pt idx="9">
                  <c:v>2.7</c:v>
                </c:pt>
              </c:numCache>
            </c:numRef>
          </c:val>
          <c:extLst>
            <c:ext xmlns:c16="http://schemas.microsoft.com/office/drawing/2014/chart" uri="{C3380CC4-5D6E-409C-BE32-E72D297353CC}">
              <c16:uniqueId val="{00000015-32F8-4922-9B24-1AD1BA416BE1}"/>
            </c:ext>
          </c:extLst>
        </c:ser>
        <c:dLbls>
          <c:showLegendKey val="0"/>
          <c:showVal val="0"/>
          <c:showCatName val="0"/>
          <c:showSerName val="0"/>
          <c:showPercent val="0"/>
          <c:showBubbleSize val="0"/>
        </c:dLbls>
        <c:gapWidth val="90"/>
        <c:axId val="153027664"/>
        <c:axId val="153028224"/>
      </c:barChart>
      <c:catAx>
        <c:axId val="153027664"/>
        <c:scaling>
          <c:orientation val="minMax"/>
        </c:scaling>
        <c:delete val="0"/>
        <c:axPos val="b"/>
        <c:numFmt formatCode="General" sourceLinked="1"/>
        <c:majorTickMark val="out"/>
        <c:minorTickMark val="none"/>
        <c:tickLblPos val="nextTo"/>
        <c:spPr>
          <a:ln w="3172">
            <a:solidFill>
              <a:srgbClr val="000000"/>
            </a:solidFill>
            <a:prstDash val="solid"/>
          </a:ln>
        </c:spPr>
        <c:txPr>
          <a:bodyPr rot="-5400000" vert="horz"/>
          <a:lstStyle/>
          <a:p>
            <a:pPr>
              <a:defRPr sz="900" b="0" i="0" u="none" strike="noStrike" baseline="0">
                <a:solidFill>
                  <a:srgbClr val="000000"/>
                </a:solidFill>
                <a:latin typeface="Times New Roman"/>
                <a:ea typeface="Times New Roman"/>
                <a:cs typeface="Times New Roman"/>
              </a:defRPr>
            </a:pPr>
            <a:endParaRPr lang="uk-UA"/>
          </a:p>
        </c:txPr>
        <c:crossAx val="153028224"/>
        <c:crosses val="autoZero"/>
        <c:auto val="1"/>
        <c:lblAlgn val="ctr"/>
        <c:lblOffset val="100"/>
        <c:tickLblSkip val="1"/>
        <c:tickMarkSkip val="1"/>
        <c:noMultiLvlLbl val="0"/>
      </c:catAx>
      <c:valAx>
        <c:axId val="153028224"/>
        <c:scaling>
          <c:orientation val="minMax"/>
        </c:scaling>
        <c:delete val="0"/>
        <c:axPos val="l"/>
        <c:majorGridlines>
          <c:spPr>
            <a:ln w="3172">
              <a:solidFill>
                <a:srgbClr val="FFFFFF"/>
              </a:solidFill>
              <a:prstDash val="solid"/>
            </a:ln>
          </c:spPr>
        </c:majorGridlines>
        <c:title>
          <c:tx>
            <c:rich>
              <a:bodyPr rot="0" vert="horz"/>
              <a:lstStyle/>
              <a:p>
                <a:pPr algn="ctr">
                  <a:defRPr sz="799" b="0" i="0" u="none" strike="noStrike" baseline="0">
                    <a:solidFill>
                      <a:srgbClr val="000000"/>
                    </a:solidFill>
                    <a:latin typeface="Times New Roman"/>
                    <a:ea typeface="Times New Roman"/>
                    <a:cs typeface="Times New Roman"/>
                  </a:defRPr>
                </a:pPr>
                <a:r>
                  <a:rPr lang="uk-UA"/>
                  <a:t>кг</a:t>
                </a:r>
              </a:p>
            </c:rich>
          </c:tx>
          <c:layout>
            <c:manualLayout>
              <c:xMode val="edge"/>
              <c:yMode val="edge"/>
              <c:x val="5.1293201253069173E-2"/>
              <c:y val="0.1027560726883662"/>
            </c:manualLayout>
          </c:layout>
          <c:overlay val="0"/>
          <c:spPr>
            <a:noFill/>
            <a:ln w="25372">
              <a:noFill/>
            </a:ln>
          </c:spPr>
        </c:title>
        <c:numFmt formatCode="0.0" sourceLinked="1"/>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Times New Roman"/>
                <a:ea typeface="Times New Roman"/>
                <a:cs typeface="Times New Roman"/>
              </a:defRPr>
            </a:pPr>
            <a:endParaRPr lang="uk-UA"/>
          </a:p>
        </c:txPr>
        <c:crossAx val="153027664"/>
        <c:crosses val="autoZero"/>
        <c:crossBetween val="between"/>
      </c:valAx>
      <c:spPr>
        <a:noFill/>
        <a:ln w="3172">
          <a:solidFill>
            <a:srgbClr val="FFFFFF"/>
          </a:solidFill>
          <a:prstDash val="solid"/>
        </a:ln>
      </c:spPr>
    </c:plotArea>
    <c:legend>
      <c:legendPos val="r"/>
      <c:layout>
        <c:manualLayout>
          <c:xMode val="edge"/>
          <c:yMode val="edge"/>
          <c:x val="0.67184092388451444"/>
          <c:y val="0.19997230407548749"/>
          <c:w val="0.29141518110236225"/>
          <c:h val="9.007711245396649E-2"/>
        </c:manualLayout>
      </c:layout>
      <c:overlay val="0"/>
      <c:spPr>
        <a:solidFill>
          <a:srgbClr val="FFFFFF"/>
        </a:solidFill>
        <a:ln w="3172">
          <a:solidFill>
            <a:srgbClr val="000000"/>
          </a:solidFill>
          <a:prstDash val="solid"/>
        </a:ln>
      </c:spPr>
      <c:txPr>
        <a:bodyPr/>
        <a:lstStyle/>
        <a:p>
          <a:pPr>
            <a:defRPr sz="900"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799"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9111667859699354"/>
          <c:y val="2.5217790004585051E-2"/>
          <c:w val="0.38045369328833895"/>
          <c:h val="0.91735063378425707"/>
        </c:manualLayout>
      </c:layout>
      <c:barChart>
        <c:barDir val="bar"/>
        <c:grouping val="clustered"/>
        <c:varyColors val="0"/>
        <c:ser>
          <c:idx val="0"/>
          <c:order val="0"/>
          <c:tx>
            <c:strRef>
              <c:f>Лист1!$B$1</c:f>
              <c:strCache>
                <c:ptCount val="1"/>
                <c:pt idx="0">
                  <c:v>2020</c:v>
                </c:pt>
              </c:strCache>
            </c:strRef>
          </c:tx>
          <c:spPr>
            <a:pattFill prst="solidDmnd">
              <a:fgClr>
                <a:schemeClr val="tx1"/>
              </a:fgClr>
              <a:bgClr>
                <a:srgbClr val="00B050"/>
              </a:bgClr>
            </a:patt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Пошук інформації щодо товарів та послуг, не названих раніше</c:v>
                </c:pt>
                <c:pt idx="1">
                  <c:v>Відправлення (отримання) електронної пошти</c:v>
                </c:pt>
                <c:pt idx="2">
                  <c:v>Взаємодія з органами державної влади</c:v>
                </c:pt>
                <c:pt idx="3">
                  <c:v>Читання/скачування газет, журналів в режимі он-лайн</c:v>
                </c:pt>
                <c:pt idx="4">
                  <c:v>Скачування фільмів, зображень, музики; перегляд телебачення чи відео; або прослуховування радіо чи музики; гра у відео- чи комп’ютерні ігри або їх скачування </c:v>
                </c:pt>
                <c:pt idx="5">
                  <c:v>Скачування програмного забезпечення </c:v>
                </c:pt>
                <c:pt idx="6">
                  <c:v>Телефонні переговори через Інтернет/Volp (Skype, iTalk, через web-камеру) </c:v>
                </c:pt>
                <c:pt idx="7">
                  <c:v>Участь у соціальних мережах, спілкування (доступ до сайтів, чатів, блогів або обговорення онлайн)</c:v>
                </c:pt>
                <c:pt idx="8">
                  <c:v>Банківське обслуговування</c:v>
                </c:pt>
                <c:pt idx="9">
                  <c:v>Пошук інформації, пов’язаної з питаннями здоров’я як для себе, так і для інших</c:v>
                </c:pt>
                <c:pt idx="10">
                  <c:v>Замовлення (купівля) товарів та послуг</c:v>
                </c:pt>
              </c:strCache>
            </c:strRef>
          </c:cat>
          <c:val>
            <c:numRef>
              <c:f>Лист1!$B$2:$B$12</c:f>
              <c:numCache>
                <c:formatCode>0.0</c:formatCode>
                <c:ptCount val="11"/>
                <c:pt idx="0">
                  <c:v>4.5</c:v>
                </c:pt>
                <c:pt idx="1">
                  <c:v>33.1</c:v>
                </c:pt>
                <c:pt idx="2">
                  <c:v>3.3</c:v>
                </c:pt>
                <c:pt idx="3">
                  <c:v>19.8</c:v>
                </c:pt>
                <c:pt idx="4">
                  <c:v>71.5</c:v>
                </c:pt>
                <c:pt idx="5">
                  <c:v>4.0999999999999996</c:v>
                </c:pt>
                <c:pt idx="6">
                  <c:v>34.4</c:v>
                </c:pt>
                <c:pt idx="7">
                  <c:v>59.3</c:v>
                </c:pt>
                <c:pt idx="8">
                  <c:v>36.200000000000003</c:v>
                </c:pt>
                <c:pt idx="9">
                  <c:v>27.8</c:v>
                </c:pt>
                <c:pt idx="10">
                  <c:v>20.7</c:v>
                </c:pt>
              </c:numCache>
            </c:numRef>
          </c:val>
          <c:extLst>
            <c:ext xmlns:c16="http://schemas.microsoft.com/office/drawing/2014/chart" uri="{C3380CC4-5D6E-409C-BE32-E72D297353CC}">
              <c16:uniqueId val="{00000000-50C5-4416-9EA7-08B627FAB898}"/>
            </c:ext>
          </c:extLst>
        </c:ser>
        <c:ser>
          <c:idx val="1"/>
          <c:order val="1"/>
          <c:tx>
            <c:strRef>
              <c:f>Лист1!$C$1</c:f>
              <c:strCache>
                <c:ptCount val="1"/>
                <c:pt idx="0">
                  <c:v>2019</c:v>
                </c:pt>
              </c:strCache>
            </c:strRef>
          </c:tx>
          <c:spPr>
            <a:pattFill prst="weave">
              <a:fgClr>
                <a:schemeClr val="tx1"/>
              </a:fgClr>
              <a:bgClr>
                <a:srgbClr val="FFC000"/>
              </a:bgClr>
            </a:patt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Лист1!$A$2:$A$12</c:f>
              <c:strCache>
                <c:ptCount val="11"/>
                <c:pt idx="0">
                  <c:v>Пошук інформації щодо товарів та послуг, не названих раніше</c:v>
                </c:pt>
                <c:pt idx="1">
                  <c:v>Відправлення (отримання) електронної пошти</c:v>
                </c:pt>
                <c:pt idx="2">
                  <c:v>Взаємодія з органами державної влади</c:v>
                </c:pt>
                <c:pt idx="3">
                  <c:v>Читання/скачування газет, журналів в режимі он-лайн</c:v>
                </c:pt>
                <c:pt idx="4">
                  <c:v>Скачування фільмів, зображень, музики; перегляд телебачення чи відео; або прослуховування радіо чи музики; гра у відео- чи комп’ютерні ігри або їх скачування </c:v>
                </c:pt>
                <c:pt idx="5">
                  <c:v>Скачування програмного забезпечення </c:v>
                </c:pt>
                <c:pt idx="6">
                  <c:v>Телефонні переговори через Інтернет/Volp (Skype, iTalk, через web-камеру) </c:v>
                </c:pt>
                <c:pt idx="7">
                  <c:v>Участь у соціальних мережах, спілкування (доступ до сайтів, чатів, блогів або обговорення онлайн)</c:v>
                </c:pt>
                <c:pt idx="8">
                  <c:v>Банківське обслуговування</c:v>
                </c:pt>
                <c:pt idx="9">
                  <c:v>Пошук інформації, пов’язаної з питаннями здоров’я як для себе, так і для інших</c:v>
                </c:pt>
                <c:pt idx="10">
                  <c:v>Замовлення (купівля) товарів та послуг</c:v>
                </c:pt>
              </c:strCache>
            </c:strRef>
          </c:cat>
          <c:val>
            <c:numRef>
              <c:f>Лист1!$C$2:$C$12</c:f>
              <c:numCache>
                <c:formatCode>0.0</c:formatCode>
                <c:ptCount val="11"/>
                <c:pt idx="0">
                  <c:v>18</c:v>
                </c:pt>
                <c:pt idx="1">
                  <c:v>26.9</c:v>
                </c:pt>
                <c:pt idx="2">
                  <c:v>2.5</c:v>
                </c:pt>
                <c:pt idx="3">
                  <c:v>22.7</c:v>
                </c:pt>
                <c:pt idx="4">
                  <c:v>61.2</c:v>
                </c:pt>
                <c:pt idx="5">
                  <c:v>3.7</c:v>
                </c:pt>
                <c:pt idx="6">
                  <c:v>42.9</c:v>
                </c:pt>
                <c:pt idx="7">
                  <c:v>50.4</c:v>
                </c:pt>
                <c:pt idx="8">
                  <c:v>21</c:v>
                </c:pt>
                <c:pt idx="9">
                  <c:v>31</c:v>
                </c:pt>
                <c:pt idx="10">
                  <c:v>16.7</c:v>
                </c:pt>
              </c:numCache>
            </c:numRef>
          </c:val>
          <c:extLst>
            <c:ext xmlns:c16="http://schemas.microsoft.com/office/drawing/2014/chart" uri="{C3380CC4-5D6E-409C-BE32-E72D297353CC}">
              <c16:uniqueId val="{00000001-50C5-4416-9EA7-08B627FAB898}"/>
            </c:ext>
          </c:extLst>
        </c:ser>
        <c:dLbls>
          <c:showLegendKey val="0"/>
          <c:showVal val="0"/>
          <c:showCatName val="0"/>
          <c:showSerName val="0"/>
          <c:showPercent val="0"/>
          <c:showBubbleSize val="0"/>
        </c:dLbls>
        <c:gapWidth val="150"/>
        <c:axId val="153031024"/>
        <c:axId val="153031584"/>
      </c:barChart>
      <c:catAx>
        <c:axId val="153031024"/>
        <c:scaling>
          <c:orientation val="minMax"/>
        </c:scaling>
        <c:delete val="0"/>
        <c:axPos val="l"/>
        <c:numFmt formatCode="General" sourceLinked="0"/>
        <c:majorTickMark val="out"/>
        <c:minorTickMark val="none"/>
        <c:tickLblPos val="nextTo"/>
        <c:crossAx val="153031584"/>
        <c:crosses val="autoZero"/>
        <c:auto val="1"/>
        <c:lblAlgn val="ctr"/>
        <c:lblOffset val="100"/>
        <c:noMultiLvlLbl val="0"/>
      </c:catAx>
      <c:valAx>
        <c:axId val="153031584"/>
        <c:scaling>
          <c:orientation val="minMax"/>
        </c:scaling>
        <c:delete val="0"/>
        <c:axPos val="b"/>
        <c:majorGridlines/>
        <c:numFmt formatCode="General" sourceLinked="0"/>
        <c:majorTickMark val="out"/>
        <c:minorTickMark val="none"/>
        <c:tickLblPos val="nextTo"/>
        <c:crossAx val="153031024"/>
        <c:crosses val="autoZero"/>
        <c:crossBetween val="between"/>
      </c:valAx>
    </c:plotArea>
    <c:legend>
      <c:legendPos val="r"/>
      <c:layout>
        <c:manualLayout>
          <c:xMode val="edge"/>
          <c:yMode val="edge"/>
          <c:x val="0.87821539353035416"/>
          <c:y val="0.45854444432410185"/>
          <c:w val="0.10879759348263285"/>
          <c:h val="8.2911111351796296E-2"/>
        </c:manualLayout>
      </c:layout>
      <c:overlay val="1"/>
      <c:spPr>
        <a:ln>
          <a:solidFill>
            <a:schemeClr val="tx1"/>
          </a:solidFill>
        </a:ln>
      </c:spPr>
    </c:legend>
    <c:plotVisOnly val="1"/>
    <c:dispBlanksAs val="gap"/>
    <c:showDLblsOverMax val="0"/>
  </c:chart>
  <c:txPr>
    <a:bodyPr/>
    <a:lstStyle/>
    <a:p>
      <a:pPr>
        <a:defRPr/>
      </a:pPr>
      <a:endParaRPr lang="uk-UA"/>
    </a:p>
  </c:txPr>
  <c:externalData r:id="rId1">
    <c:autoUpdate val="0"/>
  </c:externalData>
</c:chartSpac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081B0-41FA-43D0-9BE1-3DD542EDA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1098</TotalTime>
  <Pages>11</Pages>
  <Words>15681</Words>
  <Characters>8939</Characters>
  <Application>Microsoft Office Word</Application>
  <DocSecurity>0</DocSecurity>
  <Lines>74</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Новиченко М.В.</dc:creator>
  <cp:keywords/>
  <dc:description/>
  <cp:lastModifiedBy>Матвієнко К.Ю.</cp:lastModifiedBy>
  <cp:revision>65</cp:revision>
  <cp:lastPrinted>2020-09-14T13:53:00Z</cp:lastPrinted>
  <dcterms:created xsi:type="dcterms:W3CDTF">2021-09-14T05:56:00Z</dcterms:created>
  <dcterms:modified xsi:type="dcterms:W3CDTF">2021-09-15T14:01:00Z</dcterms:modified>
</cp:coreProperties>
</file>