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BAB" w:rsidRPr="00DF06C9" w:rsidRDefault="00D62BAB" w:rsidP="009376AB">
      <w:pPr>
        <w:pBdr>
          <w:bottom w:val="single" w:sz="12" w:space="1" w:color="auto"/>
        </w:pBdr>
        <w:rPr>
          <w:b/>
          <w:sz w:val="28"/>
          <w:szCs w:val="28"/>
          <w:lang w:val="uk-UA"/>
        </w:rPr>
      </w:pPr>
    </w:p>
    <w:p w:rsidR="008C0199" w:rsidRPr="00DF06C9" w:rsidRDefault="008C0199" w:rsidP="008C0199">
      <w:pPr>
        <w:pBdr>
          <w:bottom w:val="single" w:sz="12" w:space="1" w:color="auto"/>
        </w:pBdr>
        <w:ind w:firstLine="709"/>
        <w:jc w:val="center"/>
        <w:rPr>
          <w:sz w:val="28"/>
          <w:szCs w:val="28"/>
          <w:lang w:val="uk-UA"/>
        </w:rPr>
      </w:pPr>
      <w:r w:rsidRPr="00DF06C9">
        <w:rPr>
          <w:b/>
          <w:sz w:val="28"/>
          <w:szCs w:val="28"/>
          <w:lang w:val="uk-UA"/>
        </w:rPr>
        <w:t>НАЦІОНАЛЬН</w:t>
      </w:r>
      <w:r w:rsidR="00194619">
        <w:rPr>
          <w:b/>
          <w:sz w:val="28"/>
          <w:szCs w:val="28"/>
          <w:lang w:val="uk-UA"/>
        </w:rPr>
        <w:t>ИЙ</w:t>
      </w:r>
      <w:r w:rsidRPr="00DF06C9">
        <w:rPr>
          <w:b/>
          <w:sz w:val="28"/>
          <w:szCs w:val="28"/>
          <w:lang w:val="uk-UA"/>
        </w:rPr>
        <w:t xml:space="preserve"> СТАТИСТИЧН</w:t>
      </w:r>
      <w:r w:rsidR="00194619">
        <w:rPr>
          <w:b/>
          <w:sz w:val="28"/>
          <w:szCs w:val="28"/>
          <w:lang w:val="uk-UA"/>
        </w:rPr>
        <w:t>ИЙ</w:t>
      </w:r>
      <w:r w:rsidRPr="00DF06C9">
        <w:rPr>
          <w:b/>
          <w:sz w:val="28"/>
          <w:szCs w:val="28"/>
          <w:lang w:val="uk-UA"/>
        </w:rPr>
        <w:t xml:space="preserve"> КЛАСИФІКА</w:t>
      </w:r>
      <w:r w:rsidR="00194619">
        <w:rPr>
          <w:b/>
          <w:sz w:val="28"/>
          <w:szCs w:val="28"/>
          <w:lang w:val="uk-UA"/>
        </w:rPr>
        <w:t>ТОР</w:t>
      </w:r>
    </w:p>
    <w:p w:rsidR="008C0199" w:rsidRPr="00DF06C9" w:rsidRDefault="008C0199" w:rsidP="008C0199">
      <w:pPr>
        <w:ind w:firstLine="709"/>
        <w:rPr>
          <w:sz w:val="26"/>
          <w:lang w:val="uk-UA"/>
        </w:rPr>
      </w:pPr>
    </w:p>
    <w:p w:rsidR="008C0199" w:rsidRPr="00DF06C9" w:rsidRDefault="008C0199" w:rsidP="008C0199">
      <w:pPr>
        <w:ind w:firstLine="709"/>
        <w:rPr>
          <w:sz w:val="26"/>
          <w:lang w:val="uk-UA"/>
        </w:rPr>
      </w:pPr>
    </w:p>
    <w:p w:rsidR="008C0199" w:rsidRPr="00DF06C9" w:rsidRDefault="008C0199" w:rsidP="008C0199">
      <w:pPr>
        <w:ind w:firstLine="709"/>
        <w:rPr>
          <w:sz w:val="26"/>
          <w:lang w:val="uk-UA"/>
        </w:rPr>
      </w:pPr>
    </w:p>
    <w:p w:rsidR="00C5260E" w:rsidRPr="00DF06C9" w:rsidRDefault="00F016D5" w:rsidP="008C0199">
      <w:pPr>
        <w:pStyle w:val="5"/>
        <w:ind w:firstLine="709"/>
        <w:jc w:val="center"/>
        <w:rPr>
          <w:sz w:val="26"/>
          <w:lang w:val="uk-UA"/>
        </w:rPr>
      </w:pPr>
      <w:r>
        <w:rPr>
          <w:sz w:val="26"/>
          <w:lang w:val="uk-UA"/>
        </w:rPr>
        <w:tab/>
      </w:r>
      <w:r>
        <w:rPr>
          <w:sz w:val="26"/>
          <w:lang w:val="uk-UA"/>
        </w:rPr>
        <w:tab/>
      </w:r>
      <w:r>
        <w:rPr>
          <w:sz w:val="26"/>
          <w:lang w:val="uk-UA"/>
        </w:rPr>
        <w:tab/>
      </w:r>
      <w:r>
        <w:rPr>
          <w:sz w:val="26"/>
          <w:lang w:val="uk-UA"/>
        </w:rPr>
        <w:tab/>
      </w:r>
      <w:r>
        <w:rPr>
          <w:sz w:val="26"/>
          <w:lang w:val="uk-UA"/>
        </w:rPr>
        <w:tab/>
      </w:r>
      <w:r>
        <w:rPr>
          <w:sz w:val="26"/>
          <w:lang w:val="uk-UA"/>
        </w:rPr>
        <w:tab/>
      </w:r>
      <w:r>
        <w:rPr>
          <w:sz w:val="26"/>
          <w:lang w:val="uk-UA"/>
        </w:rPr>
        <w:tab/>
      </w:r>
      <w:r>
        <w:rPr>
          <w:sz w:val="26"/>
          <w:lang w:val="uk-UA"/>
        </w:rPr>
        <w:tab/>
      </w:r>
      <w:r>
        <w:rPr>
          <w:sz w:val="26"/>
          <w:lang w:val="uk-UA"/>
        </w:rPr>
        <w:tab/>
      </w:r>
    </w:p>
    <w:tbl>
      <w:tblPr>
        <w:tblStyle w:val="a8"/>
        <w:tblW w:w="3406" w:type="dxa"/>
        <w:tblInd w:w="62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6"/>
      </w:tblGrid>
      <w:tr w:rsidR="00AB6AB4" w:rsidTr="00AB6AB4">
        <w:tc>
          <w:tcPr>
            <w:tcW w:w="3406" w:type="dxa"/>
          </w:tcPr>
          <w:p w:rsidR="00AB6AB4" w:rsidRPr="008D3534" w:rsidRDefault="00AB6AB4" w:rsidP="00D5258C">
            <w:pPr>
              <w:rPr>
                <w:sz w:val="26"/>
                <w:szCs w:val="26"/>
              </w:rPr>
            </w:pPr>
            <w:r w:rsidRPr="008D3534">
              <w:rPr>
                <w:sz w:val="26"/>
                <w:szCs w:val="26"/>
              </w:rPr>
              <w:t>ЗАТВЕРДЖЕНО</w:t>
            </w:r>
          </w:p>
        </w:tc>
      </w:tr>
      <w:tr w:rsidR="00AB6AB4" w:rsidTr="00AB6AB4">
        <w:tc>
          <w:tcPr>
            <w:tcW w:w="3406" w:type="dxa"/>
          </w:tcPr>
          <w:p w:rsidR="00AB6AB4" w:rsidRPr="008D3534" w:rsidRDefault="00AB6AB4" w:rsidP="00D5258C">
            <w:pPr>
              <w:spacing w:before="120"/>
              <w:rPr>
                <w:sz w:val="26"/>
                <w:szCs w:val="26"/>
              </w:rPr>
            </w:pPr>
            <w:r w:rsidRPr="008D3534">
              <w:rPr>
                <w:sz w:val="26"/>
                <w:szCs w:val="26"/>
              </w:rPr>
              <w:t>Наказ Держ</w:t>
            </w:r>
            <w:r>
              <w:rPr>
                <w:sz w:val="26"/>
                <w:szCs w:val="26"/>
                <w:lang w:val="uk-UA"/>
              </w:rPr>
              <w:t xml:space="preserve">авної служби </w:t>
            </w:r>
            <w:r w:rsidRPr="008D3534">
              <w:rPr>
                <w:sz w:val="26"/>
                <w:szCs w:val="26"/>
              </w:rPr>
              <w:t>стат</w:t>
            </w:r>
            <w:r>
              <w:rPr>
                <w:sz w:val="26"/>
                <w:szCs w:val="26"/>
                <w:lang w:val="uk-UA"/>
              </w:rPr>
              <w:t xml:space="preserve">истики </w:t>
            </w:r>
            <w:r w:rsidRPr="008D3534">
              <w:rPr>
                <w:sz w:val="26"/>
                <w:szCs w:val="26"/>
              </w:rPr>
              <w:t>України</w:t>
            </w:r>
          </w:p>
        </w:tc>
      </w:tr>
      <w:tr w:rsidR="00AB6AB4" w:rsidTr="00AB6AB4">
        <w:tc>
          <w:tcPr>
            <w:tcW w:w="3406" w:type="dxa"/>
          </w:tcPr>
          <w:p w:rsidR="00AB6AB4" w:rsidRPr="008D3534" w:rsidRDefault="007C4E63" w:rsidP="007C4E63">
            <w:pPr>
              <w:spacing w:before="120"/>
              <w:rPr>
                <w:sz w:val="26"/>
                <w:szCs w:val="26"/>
                <w:lang w:val="uk-UA"/>
              </w:rPr>
            </w:pPr>
            <w:r w:rsidRPr="007C4E63">
              <w:rPr>
                <w:sz w:val="26"/>
                <w:szCs w:val="26"/>
              </w:rPr>
              <w:t>29</w:t>
            </w:r>
            <w:r>
              <w:rPr>
                <w:sz w:val="26"/>
                <w:szCs w:val="26"/>
                <w:lang w:val="uk-UA"/>
              </w:rPr>
              <w:t>.</w:t>
            </w:r>
            <w:r w:rsidRPr="007C4E63">
              <w:rPr>
                <w:sz w:val="26"/>
                <w:szCs w:val="26"/>
              </w:rPr>
              <w:t>09</w:t>
            </w:r>
            <w:r>
              <w:rPr>
                <w:sz w:val="26"/>
                <w:szCs w:val="26"/>
                <w:lang w:val="uk-UA"/>
              </w:rPr>
              <w:t>.</w:t>
            </w:r>
            <w:r w:rsidRPr="007C4E63">
              <w:rPr>
                <w:sz w:val="26"/>
                <w:szCs w:val="26"/>
              </w:rPr>
              <w:t>2014</w:t>
            </w:r>
            <w:r>
              <w:rPr>
                <w:sz w:val="26"/>
                <w:szCs w:val="26"/>
                <w:lang w:val="uk-UA"/>
              </w:rPr>
              <w:t xml:space="preserve">    </w:t>
            </w:r>
            <w:r w:rsidR="00AB6AB4" w:rsidRPr="008D3534">
              <w:rPr>
                <w:sz w:val="26"/>
                <w:szCs w:val="26"/>
                <w:lang w:val="uk-UA"/>
              </w:rPr>
              <w:t>№</w:t>
            </w:r>
            <w:r>
              <w:rPr>
                <w:sz w:val="26"/>
                <w:szCs w:val="26"/>
                <w:lang w:val="uk-UA"/>
              </w:rPr>
              <w:t xml:space="preserve"> 271</w:t>
            </w:r>
          </w:p>
        </w:tc>
      </w:tr>
    </w:tbl>
    <w:p w:rsidR="008C0199" w:rsidRPr="00DF06C9" w:rsidRDefault="008C0199" w:rsidP="008C0199">
      <w:pPr>
        <w:rPr>
          <w:lang w:val="uk-UA"/>
        </w:rPr>
      </w:pPr>
    </w:p>
    <w:p w:rsidR="008C0199" w:rsidRPr="00DF06C9" w:rsidRDefault="008C0199" w:rsidP="008C0199">
      <w:pPr>
        <w:rPr>
          <w:lang w:val="uk-UA"/>
        </w:rPr>
      </w:pPr>
    </w:p>
    <w:p w:rsidR="008C0199" w:rsidRPr="00DF06C9" w:rsidRDefault="008C0199" w:rsidP="008C0199">
      <w:pPr>
        <w:rPr>
          <w:lang w:val="uk-UA"/>
        </w:rPr>
      </w:pPr>
    </w:p>
    <w:p w:rsidR="008C0199" w:rsidRPr="00DF06C9" w:rsidRDefault="008C0199" w:rsidP="008C0199">
      <w:pPr>
        <w:rPr>
          <w:lang w:val="uk-UA"/>
        </w:rPr>
      </w:pPr>
    </w:p>
    <w:p w:rsidR="008C0199" w:rsidRPr="00DF06C9" w:rsidRDefault="008C0199" w:rsidP="008C0199">
      <w:pPr>
        <w:rPr>
          <w:lang w:val="uk-UA"/>
        </w:rPr>
      </w:pPr>
    </w:p>
    <w:p w:rsidR="008C0199" w:rsidRPr="00DF06C9" w:rsidRDefault="008C0199" w:rsidP="008C0199">
      <w:pPr>
        <w:rPr>
          <w:lang w:val="uk-UA"/>
        </w:rPr>
      </w:pPr>
    </w:p>
    <w:p w:rsidR="008C0199" w:rsidRPr="00DF06C9" w:rsidRDefault="008C0199" w:rsidP="008C0199">
      <w:pPr>
        <w:rPr>
          <w:lang w:val="uk-UA"/>
        </w:rPr>
      </w:pPr>
    </w:p>
    <w:p w:rsidR="008C0199" w:rsidRPr="00DF06C9" w:rsidRDefault="008C0199" w:rsidP="008C0199">
      <w:pPr>
        <w:rPr>
          <w:lang w:val="uk-UA"/>
        </w:rPr>
      </w:pPr>
    </w:p>
    <w:p w:rsidR="008C0199" w:rsidRPr="00DF06C9" w:rsidRDefault="008C0199" w:rsidP="008C0199">
      <w:pPr>
        <w:rPr>
          <w:lang w:val="uk-UA"/>
        </w:rPr>
      </w:pPr>
    </w:p>
    <w:p w:rsidR="000033DF" w:rsidRPr="000033DF" w:rsidRDefault="00B850E3" w:rsidP="000033DF">
      <w:pPr>
        <w:pStyle w:val="ad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СТАТИСТИЧН</w:t>
      </w:r>
      <w:r w:rsidR="00194619">
        <w:rPr>
          <w:rFonts w:ascii="Times New Roman" w:hAnsi="Times New Roman"/>
          <w:b/>
          <w:sz w:val="40"/>
          <w:szCs w:val="40"/>
        </w:rPr>
        <w:t>ИЙ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="000033DF" w:rsidRPr="000033DF">
        <w:rPr>
          <w:rFonts w:ascii="Times New Roman" w:hAnsi="Times New Roman"/>
          <w:b/>
          <w:sz w:val="40"/>
          <w:szCs w:val="40"/>
        </w:rPr>
        <w:t>КЛАСИФІКА</w:t>
      </w:r>
      <w:r w:rsidR="00194619">
        <w:rPr>
          <w:rFonts w:ascii="Times New Roman" w:hAnsi="Times New Roman"/>
          <w:b/>
          <w:sz w:val="40"/>
          <w:szCs w:val="40"/>
        </w:rPr>
        <w:t>ТОР</w:t>
      </w:r>
      <w:r w:rsidR="000033DF" w:rsidRPr="000033DF">
        <w:rPr>
          <w:rFonts w:ascii="Times New Roman" w:hAnsi="Times New Roman"/>
          <w:b/>
          <w:sz w:val="40"/>
          <w:szCs w:val="40"/>
        </w:rPr>
        <w:t xml:space="preserve"> </w:t>
      </w:r>
    </w:p>
    <w:p w:rsidR="000033DF" w:rsidRDefault="000033DF" w:rsidP="000033DF">
      <w:pPr>
        <w:pStyle w:val="ad"/>
        <w:jc w:val="center"/>
        <w:rPr>
          <w:rFonts w:ascii="Times New Roman" w:hAnsi="Times New Roman"/>
          <w:b/>
          <w:sz w:val="40"/>
          <w:szCs w:val="40"/>
        </w:rPr>
      </w:pPr>
      <w:r w:rsidRPr="000033DF">
        <w:rPr>
          <w:rFonts w:ascii="Times New Roman" w:hAnsi="Times New Roman"/>
          <w:b/>
          <w:sz w:val="40"/>
          <w:szCs w:val="40"/>
        </w:rPr>
        <w:t>ОРГАНІЗАЦІЙН</w:t>
      </w:r>
      <w:r w:rsidR="00B850E3">
        <w:rPr>
          <w:rFonts w:ascii="Times New Roman" w:hAnsi="Times New Roman"/>
          <w:b/>
          <w:sz w:val="40"/>
          <w:szCs w:val="40"/>
        </w:rPr>
        <w:t xml:space="preserve">ИХ </w:t>
      </w:r>
      <w:r w:rsidRPr="000033DF">
        <w:rPr>
          <w:rFonts w:ascii="Times New Roman" w:hAnsi="Times New Roman"/>
          <w:b/>
          <w:sz w:val="40"/>
          <w:szCs w:val="40"/>
        </w:rPr>
        <w:t>ФОРМ</w:t>
      </w:r>
      <w:r w:rsidR="00C5260E">
        <w:rPr>
          <w:rFonts w:ascii="Times New Roman" w:hAnsi="Times New Roman"/>
          <w:b/>
          <w:sz w:val="40"/>
          <w:szCs w:val="40"/>
        </w:rPr>
        <w:t xml:space="preserve"> </w:t>
      </w:r>
    </w:p>
    <w:p w:rsidR="00C5260E" w:rsidRPr="000033DF" w:rsidRDefault="00C5260E" w:rsidP="000033DF">
      <w:pPr>
        <w:pStyle w:val="ad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СУБ</w:t>
      </w:r>
      <w:r w:rsidR="00D73585" w:rsidRPr="007C4E63">
        <w:rPr>
          <w:rFonts w:ascii="Times New Roman" w:hAnsi="Times New Roman"/>
          <w:b/>
          <w:sz w:val="40"/>
          <w:szCs w:val="40"/>
          <w:lang w:val="ru-RU"/>
        </w:rPr>
        <w:t>'</w:t>
      </w:r>
      <w:r>
        <w:rPr>
          <w:rFonts w:ascii="Times New Roman" w:hAnsi="Times New Roman"/>
          <w:b/>
          <w:sz w:val="40"/>
          <w:szCs w:val="40"/>
        </w:rPr>
        <w:t>ЄКТІВ ЕКОНОМІКИ</w:t>
      </w:r>
    </w:p>
    <w:p w:rsidR="008C0199" w:rsidRPr="00DF06C9" w:rsidRDefault="008C0199" w:rsidP="008C0199">
      <w:pPr>
        <w:jc w:val="center"/>
        <w:rPr>
          <w:sz w:val="40"/>
          <w:szCs w:val="40"/>
          <w:lang w:val="uk-UA"/>
        </w:rPr>
      </w:pPr>
    </w:p>
    <w:p w:rsidR="008C0199" w:rsidRPr="00DF06C9" w:rsidRDefault="008C0199" w:rsidP="008C0199">
      <w:pPr>
        <w:jc w:val="center"/>
        <w:rPr>
          <w:sz w:val="40"/>
          <w:szCs w:val="40"/>
          <w:lang w:val="uk-UA"/>
        </w:rPr>
      </w:pPr>
    </w:p>
    <w:p w:rsidR="008C0199" w:rsidRPr="00DF06C9" w:rsidRDefault="008C0199" w:rsidP="008C0199">
      <w:pPr>
        <w:jc w:val="center"/>
        <w:rPr>
          <w:sz w:val="40"/>
          <w:szCs w:val="40"/>
          <w:lang w:val="uk-UA"/>
        </w:rPr>
      </w:pPr>
    </w:p>
    <w:p w:rsidR="008C0199" w:rsidRPr="00DF06C9" w:rsidRDefault="008C0199" w:rsidP="008C0199">
      <w:pPr>
        <w:jc w:val="center"/>
        <w:rPr>
          <w:sz w:val="40"/>
          <w:szCs w:val="40"/>
          <w:lang w:val="uk-UA"/>
        </w:rPr>
      </w:pPr>
    </w:p>
    <w:p w:rsidR="008C0199" w:rsidRPr="00DF06C9" w:rsidRDefault="008C0199" w:rsidP="008C0199">
      <w:pPr>
        <w:jc w:val="center"/>
        <w:rPr>
          <w:sz w:val="40"/>
          <w:szCs w:val="40"/>
          <w:lang w:val="uk-UA"/>
        </w:rPr>
      </w:pPr>
    </w:p>
    <w:p w:rsidR="008C0199" w:rsidRPr="00DF06C9" w:rsidRDefault="008C0199" w:rsidP="008C0199">
      <w:pPr>
        <w:jc w:val="center"/>
        <w:rPr>
          <w:sz w:val="40"/>
          <w:szCs w:val="40"/>
          <w:lang w:val="uk-UA"/>
        </w:rPr>
      </w:pPr>
    </w:p>
    <w:p w:rsidR="008C0199" w:rsidRPr="00DF06C9" w:rsidRDefault="008C0199" w:rsidP="008C0199">
      <w:pPr>
        <w:jc w:val="center"/>
        <w:rPr>
          <w:sz w:val="40"/>
          <w:szCs w:val="40"/>
          <w:lang w:val="uk-UA"/>
        </w:rPr>
      </w:pPr>
    </w:p>
    <w:p w:rsidR="008C0199" w:rsidRPr="00DF06C9" w:rsidRDefault="008C0199" w:rsidP="004C32F5">
      <w:pPr>
        <w:rPr>
          <w:sz w:val="40"/>
          <w:szCs w:val="40"/>
          <w:lang w:val="uk-UA"/>
        </w:rPr>
      </w:pPr>
    </w:p>
    <w:p w:rsidR="008C0199" w:rsidRPr="00DF06C9" w:rsidRDefault="008C0199" w:rsidP="008C0199">
      <w:pPr>
        <w:jc w:val="center"/>
        <w:rPr>
          <w:sz w:val="40"/>
          <w:szCs w:val="40"/>
          <w:lang w:val="uk-UA"/>
        </w:rPr>
      </w:pPr>
    </w:p>
    <w:p w:rsidR="009376AB" w:rsidRPr="00DF06C9" w:rsidRDefault="009376AB" w:rsidP="008C0199">
      <w:pPr>
        <w:jc w:val="center"/>
        <w:rPr>
          <w:sz w:val="40"/>
          <w:szCs w:val="40"/>
          <w:lang w:val="uk-UA"/>
        </w:rPr>
      </w:pPr>
    </w:p>
    <w:p w:rsidR="009376AB" w:rsidRPr="00DF06C9" w:rsidRDefault="009376AB" w:rsidP="008C0199">
      <w:pPr>
        <w:jc w:val="center"/>
        <w:rPr>
          <w:sz w:val="40"/>
          <w:szCs w:val="40"/>
          <w:lang w:val="uk-UA"/>
        </w:rPr>
      </w:pPr>
    </w:p>
    <w:p w:rsidR="009376AB" w:rsidRPr="00DF06C9" w:rsidRDefault="009376AB" w:rsidP="008C0199">
      <w:pPr>
        <w:jc w:val="center"/>
        <w:rPr>
          <w:sz w:val="40"/>
          <w:szCs w:val="40"/>
          <w:lang w:val="uk-UA"/>
        </w:rPr>
      </w:pPr>
    </w:p>
    <w:p w:rsidR="009376AB" w:rsidRDefault="009376AB" w:rsidP="008C0199">
      <w:pPr>
        <w:jc w:val="center"/>
        <w:rPr>
          <w:sz w:val="40"/>
          <w:szCs w:val="40"/>
          <w:lang w:val="uk-UA"/>
        </w:rPr>
      </w:pPr>
    </w:p>
    <w:p w:rsidR="00C5260E" w:rsidRDefault="00C5260E" w:rsidP="008C0199">
      <w:pPr>
        <w:jc w:val="center"/>
        <w:rPr>
          <w:sz w:val="40"/>
          <w:szCs w:val="40"/>
          <w:lang w:val="uk-UA"/>
        </w:rPr>
      </w:pPr>
    </w:p>
    <w:p w:rsidR="008C0199" w:rsidRPr="00DF06C9" w:rsidRDefault="008C0199" w:rsidP="008C0199">
      <w:pPr>
        <w:jc w:val="center"/>
        <w:rPr>
          <w:sz w:val="40"/>
          <w:szCs w:val="40"/>
          <w:lang w:val="uk-UA"/>
        </w:rPr>
      </w:pPr>
    </w:p>
    <w:p w:rsidR="008C0199" w:rsidRPr="00DF06C9" w:rsidRDefault="008240F2" w:rsidP="008C0199">
      <w:pPr>
        <w:pBdr>
          <w:bottom w:val="single" w:sz="12" w:space="1" w:color="auto"/>
        </w:pBdr>
        <w:jc w:val="center"/>
        <w:rPr>
          <w:lang w:val="uk-UA"/>
        </w:rPr>
      </w:pPr>
      <w:r w:rsidRPr="00DF06C9">
        <w:rPr>
          <w:lang w:val="uk-UA"/>
        </w:rPr>
        <w:t>201</w:t>
      </w:r>
      <w:r w:rsidR="00B850E3">
        <w:rPr>
          <w:lang w:val="uk-UA"/>
        </w:rPr>
        <w:t>4</w:t>
      </w:r>
    </w:p>
    <w:p w:rsidR="008C0199" w:rsidRPr="00DF06C9" w:rsidRDefault="008C0199" w:rsidP="008C0199">
      <w:pPr>
        <w:pBdr>
          <w:bottom w:val="single" w:sz="12" w:space="1" w:color="auto"/>
        </w:pBdr>
        <w:jc w:val="center"/>
        <w:rPr>
          <w:lang w:val="uk-UA"/>
        </w:rPr>
        <w:sectPr w:rsidR="008C0199" w:rsidRPr="00DF06C9" w:rsidSect="00AC4ABE">
          <w:headerReference w:type="default" r:id="rId8"/>
          <w:footerReference w:type="even" r:id="rId9"/>
          <w:footerReference w:type="default" r:id="rId10"/>
          <w:pgSz w:w="11906" w:h="16838"/>
          <w:pgMar w:top="1134" w:right="1134" w:bottom="1134" w:left="1134" w:header="709" w:footer="709" w:gutter="0"/>
          <w:pgNumType w:start="2"/>
          <w:cols w:space="708"/>
          <w:titlePg/>
          <w:docGrid w:linePitch="360"/>
        </w:sectPr>
      </w:pPr>
    </w:p>
    <w:p w:rsidR="001E09CE" w:rsidRPr="00DF06C9" w:rsidRDefault="001E09CE" w:rsidP="00D06796">
      <w:pPr>
        <w:jc w:val="center"/>
        <w:rPr>
          <w:b/>
          <w:bCs/>
          <w:sz w:val="28"/>
          <w:szCs w:val="28"/>
          <w:lang w:val="uk-UA"/>
        </w:rPr>
      </w:pPr>
    </w:p>
    <w:p w:rsidR="00D06796" w:rsidRPr="00DF06C9" w:rsidRDefault="00D06796" w:rsidP="00D06796">
      <w:pPr>
        <w:jc w:val="center"/>
        <w:rPr>
          <w:b/>
          <w:bCs/>
          <w:sz w:val="28"/>
          <w:szCs w:val="28"/>
          <w:lang w:val="uk-UA"/>
        </w:rPr>
      </w:pPr>
      <w:r w:rsidRPr="00DF06C9">
        <w:rPr>
          <w:b/>
          <w:bCs/>
          <w:sz w:val="28"/>
          <w:szCs w:val="28"/>
          <w:lang w:val="uk-UA"/>
        </w:rPr>
        <w:t>ПЕРЕДМОВА</w:t>
      </w:r>
    </w:p>
    <w:p w:rsidR="00D06796" w:rsidRPr="00DF06C9" w:rsidRDefault="00D06796" w:rsidP="00D06796">
      <w:pPr>
        <w:jc w:val="center"/>
        <w:rPr>
          <w:b/>
          <w:bCs/>
          <w:sz w:val="28"/>
          <w:szCs w:val="28"/>
          <w:lang w:val="uk-UA"/>
        </w:rPr>
      </w:pPr>
    </w:p>
    <w:p w:rsidR="00D06796" w:rsidRPr="00DF06C9" w:rsidRDefault="00D06796" w:rsidP="00D06796">
      <w:pPr>
        <w:jc w:val="center"/>
        <w:rPr>
          <w:b/>
          <w:bCs/>
          <w:sz w:val="28"/>
          <w:szCs w:val="28"/>
          <w:lang w:val="uk-UA"/>
        </w:rPr>
      </w:pPr>
    </w:p>
    <w:p w:rsidR="00D06796" w:rsidRPr="00DF06C9" w:rsidRDefault="00D06796" w:rsidP="00D0679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F06C9">
        <w:rPr>
          <w:sz w:val="28"/>
          <w:szCs w:val="28"/>
          <w:lang w:val="uk-UA"/>
        </w:rPr>
        <w:t>РОЗРОБЛЕНО: відділ статистичних класифікацій департаменту статистичн</w:t>
      </w:r>
      <w:r w:rsidR="00E148BF">
        <w:rPr>
          <w:sz w:val="28"/>
          <w:szCs w:val="28"/>
          <w:lang w:val="uk-UA"/>
        </w:rPr>
        <w:t>ої</w:t>
      </w:r>
      <w:r w:rsidRPr="00DF06C9">
        <w:rPr>
          <w:sz w:val="28"/>
          <w:szCs w:val="28"/>
          <w:lang w:val="uk-UA"/>
        </w:rPr>
        <w:t xml:space="preserve"> </w:t>
      </w:r>
      <w:r w:rsidR="00C5260E">
        <w:rPr>
          <w:sz w:val="28"/>
          <w:szCs w:val="28"/>
          <w:lang w:val="uk-UA"/>
        </w:rPr>
        <w:t>інфраструктури</w:t>
      </w:r>
      <w:r w:rsidR="00E148BF">
        <w:rPr>
          <w:sz w:val="28"/>
          <w:szCs w:val="28"/>
          <w:lang w:val="uk-UA"/>
        </w:rPr>
        <w:t xml:space="preserve"> Держ</w:t>
      </w:r>
      <w:r w:rsidR="00517427">
        <w:rPr>
          <w:sz w:val="28"/>
          <w:szCs w:val="28"/>
          <w:lang w:val="uk-UA"/>
        </w:rPr>
        <w:t>авної служби статистики України</w:t>
      </w:r>
      <w:r w:rsidRPr="00DF06C9">
        <w:rPr>
          <w:sz w:val="28"/>
          <w:szCs w:val="28"/>
          <w:lang w:val="uk-UA"/>
        </w:rPr>
        <w:t>.</w:t>
      </w:r>
    </w:p>
    <w:p w:rsidR="000033DF" w:rsidRDefault="00D06796" w:rsidP="00D06796">
      <w:pPr>
        <w:numPr>
          <w:ilvl w:val="0"/>
          <w:numId w:val="1"/>
        </w:numPr>
        <w:spacing w:before="240"/>
        <w:ind w:left="714" w:hanging="357"/>
        <w:jc w:val="both"/>
        <w:rPr>
          <w:sz w:val="28"/>
          <w:szCs w:val="28"/>
          <w:lang w:val="uk-UA"/>
        </w:rPr>
      </w:pPr>
      <w:r w:rsidRPr="00DF06C9">
        <w:rPr>
          <w:sz w:val="28"/>
          <w:szCs w:val="28"/>
          <w:lang w:val="uk-UA"/>
        </w:rPr>
        <w:t>РОЗРОБНИК: А. Варнідіс</w:t>
      </w:r>
      <w:r w:rsidR="00194619">
        <w:rPr>
          <w:sz w:val="28"/>
          <w:szCs w:val="28"/>
          <w:lang w:val="uk-UA"/>
        </w:rPr>
        <w:t>, Н. Гайдаєнко</w:t>
      </w:r>
      <w:r w:rsidRPr="00DF06C9">
        <w:rPr>
          <w:sz w:val="28"/>
          <w:szCs w:val="28"/>
          <w:lang w:val="uk-UA"/>
        </w:rPr>
        <w:t xml:space="preserve"> </w:t>
      </w:r>
    </w:p>
    <w:p w:rsidR="00D06796" w:rsidRPr="00DF06C9" w:rsidRDefault="00D06796" w:rsidP="00D06796">
      <w:pPr>
        <w:numPr>
          <w:ilvl w:val="0"/>
          <w:numId w:val="1"/>
        </w:numPr>
        <w:spacing w:before="240"/>
        <w:ind w:left="714" w:hanging="357"/>
        <w:jc w:val="both"/>
        <w:rPr>
          <w:sz w:val="28"/>
          <w:szCs w:val="28"/>
          <w:lang w:val="uk-UA"/>
        </w:rPr>
      </w:pPr>
      <w:r w:rsidRPr="00DF06C9">
        <w:rPr>
          <w:sz w:val="28"/>
          <w:szCs w:val="28"/>
          <w:lang w:val="uk-UA"/>
        </w:rPr>
        <w:t>ПРИЙНЯ</w:t>
      </w:r>
      <w:r w:rsidR="006825B8" w:rsidRPr="00DF06C9">
        <w:rPr>
          <w:sz w:val="28"/>
          <w:szCs w:val="28"/>
          <w:lang w:val="uk-UA"/>
        </w:rPr>
        <w:t xml:space="preserve">ТО ТА НАДАНО ЧИННОСТІ: наказом </w:t>
      </w:r>
      <w:r w:rsidR="00517427">
        <w:rPr>
          <w:sz w:val="28"/>
          <w:szCs w:val="28"/>
          <w:lang w:val="uk-UA"/>
        </w:rPr>
        <w:t>Державної служби статистики України</w:t>
      </w:r>
      <w:r w:rsidR="00517427" w:rsidRPr="00DF06C9">
        <w:rPr>
          <w:sz w:val="28"/>
          <w:szCs w:val="28"/>
          <w:lang w:val="uk-UA"/>
        </w:rPr>
        <w:t xml:space="preserve"> </w:t>
      </w:r>
      <w:r w:rsidRPr="00DF06C9">
        <w:rPr>
          <w:sz w:val="28"/>
          <w:szCs w:val="28"/>
          <w:lang w:val="uk-UA"/>
        </w:rPr>
        <w:t>від</w:t>
      </w:r>
      <w:r w:rsidR="001A20AC" w:rsidRPr="00DF06C9">
        <w:rPr>
          <w:sz w:val="28"/>
          <w:szCs w:val="28"/>
          <w:lang w:val="uk-UA"/>
        </w:rPr>
        <w:t xml:space="preserve"> </w:t>
      </w:r>
      <w:r w:rsidR="00517427" w:rsidRPr="00517427">
        <w:rPr>
          <w:sz w:val="28"/>
          <w:szCs w:val="28"/>
        </w:rPr>
        <w:t>29</w:t>
      </w:r>
      <w:r w:rsidR="00517427">
        <w:rPr>
          <w:sz w:val="28"/>
          <w:szCs w:val="28"/>
          <w:lang w:val="uk-UA"/>
        </w:rPr>
        <w:t>.</w:t>
      </w:r>
      <w:r w:rsidR="00517427" w:rsidRPr="00517427">
        <w:rPr>
          <w:sz w:val="28"/>
          <w:szCs w:val="28"/>
        </w:rPr>
        <w:t>09</w:t>
      </w:r>
      <w:r w:rsidR="00517427">
        <w:rPr>
          <w:sz w:val="28"/>
          <w:szCs w:val="28"/>
          <w:lang w:val="uk-UA"/>
        </w:rPr>
        <w:t>.</w:t>
      </w:r>
      <w:r w:rsidR="001A20AC" w:rsidRPr="00DF06C9">
        <w:rPr>
          <w:sz w:val="28"/>
          <w:szCs w:val="28"/>
          <w:lang w:val="uk-UA"/>
        </w:rPr>
        <w:t>201</w:t>
      </w:r>
      <w:r w:rsidR="00B850E3">
        <w:rPr>
          <w:sz w:val="28"/>
          <w:szCs w:val="28"/>
          <w:lang w:val="uk-UA"/>
        </w:rPr>
        <w:t>4</w:t>
      </w:r>
      <w:r w:rsidR="001A20AC" w:rsidRPr="00DF06C9">
        <w:rPr>
          <w:sz w:val="28"/>
          <w:szCs w:val="28"/>
          <w:lang w:val="uk-UA"/>
        </w:rPr>
        <w:t xml:space="preserve"> №</w:t>
      </w:r>
      <w:r w:rsidRPr="00DF06C9">
        <w:rPr>
          <w:sz w:val="28"/>
          <w:szCs w:val="28"/>
          <w:lang w:val="uk-UA"/>
        </w:rPr>
        <w:t xml:space="preserve"> </w:t>
      </w:r>
      <w:r w:rsidR="00517427">
        <w:rPr>
          <w:sz w:val="28"/>
          <w:szCs w:val="28"/>
          <w:lang w:val="uk-UA"/>
        </w:rPr>
        <w:t>271.</w:t>
      </w:r>
    </w:p>
    <w:p w:rsidR="008C0199" w:rsidRPr="005F169C" w:rsidRDefault="00455A63" w:rsidP="005F169C">
      <w:pPr>
        <w:numPr>
          <w:ilvl w:val="0"/>
          <w:numId w:val="1"/>
        </w:numPr>
        <w:spacing w:before="240"/>
        <w:ind w:left="714" w:hanging="357"/>
        <w:jc w:val="both"/>
        <w:rPr>
          <w:lang w:val="uk-UA"/>
        </w:rPr>
      </w:pPr>
      <w:r w:rsidRPr="005F169C">
        <w:rPr>
          <w:sz w:val="28"/>
          <w:szCs w:val="28"/>
          <w:lang w:val="uk-UA"/>
        </w:rPr>
        <w:t>НА ЗАМІНУ</w:t>
      </w:r>
      <w:r w:rsidR="00517427">
        <w:rPr>
          <w:sz w:val="28"/>
          <w:szCs w:val="28"/>
          <w:lang w:val="uk-UA"/>
        </w:rPr>
        <w:t>:</w:t>
      </w:r>
      <w:r w:rsidRPr="005F169C">
        <w:rPr>
          <w:sz w:val="28"/>
          <w:szCs w:val="28"/>
          <w:lang w:val="uk-UA"/>
        </w:rPr>
        <w:t xml:space="preserve"> </w:t>
      </w:r>
      <w:r w:rsidR="005F169C" w:rsidRPr="005F169C">
        <w:rPr>
          <w:sz w:val="28"/>
          <w:szCs w:val="28"/>
          <w:lang w:val="uk-UA"/>
        </w:rPr>
        <w:t>Державного класифікатора «Класифікація організаційно-правових форм господарювання», який прийнято та надано чинності наказом Держспоживстандарту України від 28 травня 2004 р. № 97 (із змінами).</w:t>
      </w:r>
    </w:p>
    <w:p w:rsidR="005F169C" w:rsidRDefault="005F169C" w:rsidP="005F169C">
      <w:pPr>
        <w:pStyle w:val="ad"/>
        <w:jc w:val="center"/>
        <w:rPr>
          <w:rFonts w:ascii="Times New Roman" w:hAnsi="Times New Roman"/>
          <w:b/>
          <w:sz w:val="26"/>
        </w:rPr>
      </w:pPr>
      <w:r>
        <w:br w:type="page"/>
      </w:r>
      <w:r>
        <w:rPr>
          <w:rFonts w:ascii="Times New Roman" w:hAnsi="Times New Roman"/>
          <w:b/>
          <w:sz w:val="26"/>
        </w:rPr>
        <w:lastRenderedPageBreak/>
        <w:t>ЗМІСТ</w:t>
      </w:r>
    </w:p>
    <w:p w:rsidR="005F169C" w:rsidRDefault="005F169C" w:rsidP="005F169C">
      <w:pPr>
        <w:pStyle w:val="ad"/>
        <w:jc w:val="center"/>
        <w:rPr>
          <w:rFonts w:ascii="Times New Roman" w:hAnsi="Times New Roman"/>
          <w:b/>
          <w:sz w:val="26"/>
        </w:rPr>
      </w:pPr>
    </w:p>
    <w:p w:rsidR="005F169C" w:rsidRDefault="005F169C" w:rsidP="005F169C">
      <w:pPr>
        <w:pStyle w:val="ad"/>
        <w:jc w:val="center"/>
        <w:rPr>
          <w:rFonts w:ascii="Times New Roman" w:hAnsi="Times New Roman"/>
          <w:b/>
          <w:sz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"/>
        <w:gridCol w:w="8234"/>
        <w:gridCol w:w="992"/>
      </w:tblGrid>
      <w:tr w:rsidR="005F169C">
        <w:trPr>
          <w:cantSplit/>
          <w:trHeight w:val="93"/>
        </w:trPr>
        <w:tc>
          <w:tcPr>
            <w:tcW w:w="521" w:type="dxa"/>
          </w:tcPr>
          <w:p w:rsidR="005F169C" w:rsidRDefault="005F169C" w:rsidP="00736ED5"/>
          <w:p w:rsidR="005F169C" w:rsidRDefault="005F169C" w:rsidP="00736ED5"/>
          <w:p w:rsidR="005F169C" w:rsidRDefault="005F169C" w:rsidP="00736ED5"/>
        </w:tc>
        <w:tc>
          <w:tcPr>
            <w:tcW w:w="8234" w:type="dxa"/>
          </w:tcPr>
          <w:p w:rsidR="005F169C" w:rsidRDefault="005F169C" w:rsidP="00736ED5"/>
        </w:tc>
        <w:tc>
          <w:tcPr>
            <w:tcW w:w="992" w:type="dxa"/>
          </w:tcPr>
          <w:p w:rsidR="005F169C" w:rsidRDefault="005F169C" w:rsidP="00736ED5"/>
        </w:tc>
      </w:tr>
      <w:tr w:rsidR="005F169C" w:rsidTr="006F72A7">
        <w:trPr>
          <w:cantSplit/>
          <w:trHeight w:val="454"/>
        </w:trPr>
        <w:tc>
          <w:tcPr>
            <w:tcW w:w="521" w:type="dxa"/>
          </w:tcPr>
          <w:p w:rsidR="005F169C" w:rsidRDefault="005F169C" w:rsidP="00736ED5">
            <w:pPr>
              <w:pStyle w:val="ad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  <w:r w:rsidR="00517427">
              <w:rPr>
                <w:rFonts w:ascii="Times New Roman" w:hAnsi="Times New Roman"/>
                <w:sz w:val="26"/>
              </w:rPr>
              <w:t>.</w:t>
            </w:r>
          </w:p>
        </w:tc>
        <w:tc>
          <w:tcPr>
            <w:tcW w:w="8234" w:type="dxa"/>
          </w:tcPr>
          <w:p w:rsidR="005F169C" w:rsidRDefault="005F169C" w:rsidP="00736ED5">
            <w:pPr>
              <w:pStyle w:val="ad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Вступ………………………………………………………….………………</w:t>
            </w:r>
          </w:p>
        </w:tc>
        <w:tc>
          <w:tcPr>
            <w:tcW w:w="992" w:type="dxa"/>
          </w:tcPr>
          <w:p w:rsidR="005F169C" w:rsidRDefault="00B850E3" w:rsidP="00736ED5">
            <w:pPr>
              <w:pStyle w:val="ad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</w:p>
        </w:tc>
      </w:tr>
      <w:tr w:rsidR="005F169C" w:rsidTr="006F72A7">
        <w:trPr>
          <w:cantSplit/>
          <w:trHeight w:val="454"/>
        </w:trPr>
        <w:tc>
          <w:tcPr>
            <w:tcW w:w="521" w:type="dxa"/>
          </w:tcPr>
          <w:p w:rsidR="005F169C" w:rsidRDefault="005F169C" w:rsidP="00736ED5">
            <w:pPr>
              <w:pStyle w:val="ad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  <w:r w:rsidR="00517427">
              <w:rPr>
                <w:rFonts w:ascii="Times New Roman" w:hAnsi="Times New Roman"/>
                <w:sz w:val="26"/>
              </w:rPr>
              <w:t>.</w:t>
            </w:r>
          </w:p>
        </w:tc>
        <w:tc>
          <w:tcPr>
            <w:tcW w:w="8234" w:type="dxa"/>
          </w:tcPr>
          <w:p w:rsidR="005F169C" w:rsidRDefault="005F169C" w:rsidP="00517427">
            <w:pPr>
              <w:pStyle w:val="ad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Структура класифіка</w:t>
            </w:r>
            <w:r w:rsidR="00194619">
              <w:rPr>
                <w:rFonts w:ascii="Times New Roman" w:hAnsi="Times New Roman"/>
                <w:sz w:val="26"/>
              </w:rPr>
              <w:t>тор</w:t>
            </w:r>
            <w:r w:rsidR="00517427">
              <w:rPr>
                <w:rFonts w:ascii="Times New Roman" w:hAnsi="Times New Roman"/>
                <w:sz w:val="26"/>
              </w:rPr>
              <w:t>а</w:t>
            </w:r>
            <w:r>
              <w:rPr>
                <w:rFonts w:ascii="Times New Roman" w:hAnsi="Times New Roman"/>
                <w:sz w:val="26"/>
              </w:rPr>
              <w:t>……………………………………………….</w:t>
            </w:r>
            <w:r w:rsidR="00194619">
              <w:rPr>
                <w:rFonts w:ascii="Times New Roman" w:hAnsi="Times New Roman"/>
                <w:sz w:val="26"/>
              </w:rPr>
              <w:t>.</w:t>
            </w:r>
            <w:r>
              <w:rPr>
                <w:rFonts w:ascii="Times New Roman" w:hAnsi="Times New Roman"/>
                <w:sz w:val="26"/>
              </w:rPr>
              <w:t>….</w:t>
            </w:r>
          </w:p>
        </w:tc>
        <w:tc>
          <w:tcPr>
            <w:tcW w:w="992" w:type="dxa"/>
          </w:tcPr>
          <w:p w:rsidR="005F169C" w:rsidRDefault="00B850E3" w:rsidP="00736ED5">
            <w:pPr>
              <w:pStyle w:val="ad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</w:t>
            </w:r>
          </w:p>
        </w:tc>
      </w:tr>
      <w:tr w:rsidR="005F169C" w:rsidRPr="00194619" w:rsidTr="00230A77">
        <w:trPr>
          <w:cantSplit/>
          <w:trHeight w:val="454"/>
        </w:trPr>
        <w:tc>
          <w:tcPr>
            <w:tcW w:w="521" w:type="dxa"/>
          </w:tcPr>
          <w:p w:rsidR="005F169C" w:rsidRDefault="005F169C" w:rsidP="00736ED5">
            <w:pPr>
              <w:pStyle w:val="ad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</w:t>
            </w:r>
            <w:r w:rsidR="00517427">
              <w:rPr>
                <w:rFonts w:ascii="Times New Roman" w:hAnsi="Times New Roman"/>
                <w:sz w:val="26"/>
              </w:rPr>
              <w:t>.</w:t>
            </w:r>
          </w:p>
        </w:tc>
        <w:tc>
          <w:tcPr>
            <w:tcW w:w="8234" w:type="dxa"/>
          </w:tcPr>
          <w:p w:rsidR="005F169C" w:rsidRDefault="005F169C" w:rsidP="003610B3">
            <w:pPr>
              <w:pStyle w:val="ad"/>
              <w:ind w:right="-25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Пояснення до позицій </w:t>
            </w:r>
            <w:r w:rsidR="00517427">
              <w:rPr>
                <w:rFonts w:ascii="Times New Roman" w:hAnsi="Times New Roman"/>
                <w:sz w:val="26"/>
              </w:rPr>
              <w:t>класифікатора</w:t>
            </w:r>
            <w:r w:rsidR="003610B3">
              <w:rPr>
                <w:rFonts w:ascii="Times New Roman" w:hAnsi="Times New Roman"/>
                <w:sz w:val="26"/>
              </w:rPr>
              <w:t>…</w:t>
            </w:r>
            <w:r w:rsidR="00194619">
              <w:rPr>
                <w:rFonts w:ascii="Times New Roman" w:hAnsi="Times New Roman"/>
                <w:sz w:val="26"/>
              </w:rPr>
              <w:t>…</w:t>
            </w:r>
            <w:r>
              <w:rPr>
                <w:rFonts w:ascii="Times New Roman" w:hAnsi="Times New Roman"/>
                <w:sz w:val="26"/>
              </w:rPr>
              <w:t>……..…</w:t>
            </w:r>
            <w:r w:rsidR="00194619">
              <w:rPr>
                <w:rFonts w:ascii="Times New Roman" w:hAnsi="Times New Roman"/>
                <w:sz w:val="26"/>
              </w:rPr>
              <w:t>…</w:t>
            </w:r>
            <w:r w:rsidR="003610B3">
              <w:rPr>
                <w:rFonts w:ascii="Times New Roman" w:hAnsi="Times New Roman"/>
                <w:sz w:val="26"/>
              </w:rPr>
              <w:t>……………………..</w:t>
            </w:r>
          </w:p>
        </w:tc>
        <w:tc>
          <w:tcPr>
            <w:tcW w:w="992" w:type="dxa"/>
          </w:tcPr>
          <w:p w:rsidR="005F169C" w:rsidRDefault="00B850E3" w:rsidP="00736ED5">
            <w:pPr>
              <w:pStyle w:val="ad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11</w:t>
            </w:r>
          </w:p>
        </w:tc>
      </w:tr>
      <w:tr w:rsidR="005F169C" w:rsidTr="00230A77">
        <w:trPr>
          <w:cantSplit/>
          <w:trHeight w:val="93"/>
        </w:trPr>
        <w:tc>
          <w:tcPr>
            <w:tcW w:w="8755" w:type="dxa"/>
            <w:gridSpan w:val="2"/>
          </w:tcPr>
          <w:p w:rsidR="00B850E3" w:rsidRDefault="00B850E3" w:rsidP="00B850E3">
            <w:pPr>
              <w:pStyle w:val="ad"/>
              <w:rPr>
                <w:rFonts w:ascii="Times New Roman" w:hAnsi="Times New Roman"/>
                <w:sz w:val="26"/>
              </w:rPr>
            </w:pPr>
          </w:p>
          <w:p w:rsidR="00B850E3" w:rsidRDefault="00B850E3" w:rsidP="00B850E3">
            <w:pPr>
              <w:pStyle w:val="ad"/>
              <w:rPr>
                <w:rFonts w:ascii="Times New Roman" w:hAnsi="Times New Roman"/>
                <w:sz w:val="26"/>
              </w:rPr>
            </w:pPr>
          </w:p>
          <w:p w:rsidR="005F169C" w:rsidRDefault="005F169C" w:rsidP="00194619">
            <w:pPr>
              <w:pStyle w:val="ad"/>
              <w:rPr>
                <w:rFonts w:ascii="Times New Roman" w:hAnsi="Times New Roman"/>
                <w:sz w:val="26"/>
              </w:rPr>
            </w:pPr>
            <w:r w:rsidRPr="00517427">
              <w:rPr>
                <w:rFonts w:ascii="Times New Roman" w:hAnsi="Times New Roman"/>
                <w:sz w:val="26"/>
                <w:u w:val="single"/>
              </w:rPr>
              <w:t>Додаток А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 w:rsidR="00ED26C2">
              <w:rPr>
                <w:rFonts w:ascii="Times New Roman" w:hAnsi="Times New Roman"/>
                <w:sz w:val="26"/>
              </w:rPr>
              <w:t xml:space="preserve">Перехідна таблиця між </w:t>
            </w:r>
            <w:r w:rsidR="00B850E3">
              <w:rPr>
                <w:rFonts w:ascii="Times New Roman" w:hAnsi="Times New Roman"/>
                <w:sz w:val="26"/>
              </w:rPr>
              <w:t>Статистичн</w:t>
            </w:r>
            <w:r w:rsidR="00194619">
              <w:rPr>
                <w:rFonts w:ascii="Times New Roman" w:hAnsi="Times New Roman"/>
                <w:sz w:val="26"/>
              </w:rPr>
              <w:t>им</w:t>
            </w:r>
            <w:r w:rsidR="00B850E3">
              <w:rPr>
                <w:rFonts w:ascii="Times New Roman" w:hAnsi="Times New Roman"/>
                <w:sz w:val="26"/>
              </w:rPr>
              <w:t xml:space="preserve"> к</w:t>
            </w:r>
            <w:r w:rsidR="00ED26C2">
              <w:rPr>
                <w:rFonts w:ascii="Times New Roman" w:hAnsi="Times New Roman"/>
                <w:sz w:val="26"/>
              </w:rPr>
              <w:t>ласифіка</w:t>
            </w:r>
            <w:r w:rsidR="00194619">
              <w:rPr>
                <w:rFonts w:ascii="Times New Roman" w:hAnsi="Times New Roman"/>
                <w:sz w:val="26"/>
              </w:rPr>
              <w:t>тором</w:t>
            </w:r>
            <w:r w:rsidR="00ED26C2">
              <w:rPr>
                <w:rFonts w:ascii="Times New Roman" w:hAnsi="Times New Roman"/>
                <w:sz w:val="26"/>
              </w:rPr>
              <w:t xml:space="preserve"> організаційн</w:t>
            </w:r>
            <w:r w:rsidR="00B850E3">
              <w:rPr>
                <w:rFonts w:ascii="Times New Roman" w:hAnsi="Times New Roman"/>
                <w:sz w:val="26"/>
              </w:rPr>
              <w:t>их</w:t>
            </w:r>
            <w:r w:rsidR="00ED26C2">
              <w:rPr>
                <w:rFonts w:ascii="Times New Roman" w:hAnsi="Times New Roman"/>
                <w:sz w:val="26"/>
              </w:rPr>
              <w:t xml:space="preserve"> форм та попередніми </w:t>
            </w:r>
            <w:r w:rsidR="00194619">
              <w:rPr>
                <w:rFonts w:ascii="Times New Roman" w:hAnsi="Times New Roman"/>
                <w:sz w:val="26"/>
              </w:rPr>
              <w:t xml:space="preserve">його </w:t>
            </w:r>
            <w:r w:rsidR="00ED26C2">
              <w:rPr>
                <w:rFonts w:ascii="Times New Roman" w:hAnsi="Times New Roman"/>
                <w:sz w:val="26"/>
              </w:rPr>
              <w:t>версіями</w:t>
            </w:r>
            <w:r>
              <w:rPr>
                <w:rFonts w:ascii="Times New Roman" w:hAnsi="Times New Roman"/>
                <w:sz w:val="26"/>
              </w:rPr>
              <w:t>……………</w:t>
            </w:r>
            <w:r w:rsidR="00B850E3">
              <w:rPr>
                <w:rFonts w:ascii="Times New Roman" w:hAnsi="Times New Roman"/>
                <w:sz w:val="26"/>
              </w:rPr>
              <w:t>…………</w:t>
            </w:r>
            <w:r w:rsidR="00194619">
              <w:rPr>
                <w:rFonts w:ascii="Times New Roman" w:hAnsi="Times New Roman"/>
                <w:sz w:val="26"/>
              </w:rPr>
              <w:t>..</w:t>
            </w:r>
            <w:r w:rsidR="00B850E3">
              <w:rPr>
                <w:rFonts w:ascii="Times New Roman" w:hAnsi="Times New Roman"/>
                <w:sz w:val="26"/>
              </w:rPr>
              <w:t>…</w:t>
            </w:r>
          </w:p>
        </w:tc>
        <w:tc>
          <w:tcPr>
            <w:tcW w:w="992" w:type="dxa"/>
          </w:tcPr>
          <w:p w:rsidR="005F169C" w:rsidRDefault="005F169C" w:rsidP="00736ED5">
            <w:pPr>
              <w:pStyle w:val="ad"/>
              <w:rPr>
                <w:rFonts w:ascii="Times New Roman" w:hAnsi="Times New Roman"/>
                <w:sz w:val="26"/>
              </w:rPr>
            </w:pPr>
          </w:p>
          <w:p w:rsidR="00230A77" w:rsidRDefault="00230A77" w:rsidP="00736ED5">
            <w:pPr>
              <w:pStyle w:val="ad"/>
              <w:rPr>
                <w:rFonts w:ascii="Times New Roman" w:hAnsi="Times New Roman"/>
                <w:sz w:val="26"/>
              </w:rPr>
            </w:pPr>
          </w:p>
          <w:p w:rsidR="00230A77" w:rsidRDefault="00230A77" w:rsidP="00736ED5">
            <w:pPr>
              <w:pStyle w:val="ad"/>
              <w:rPr>
                <w:rFonts w:ascii="Times New Roman" w:hAnsi="Times New Roman"/>
                <w:sz w:val="26"/>
              </w:rPr>
            </w:pPr>
          </w:p>
          <w:p w:rsidR="00230A77" w:rsidRDefault="00230A77" w:rsidP="00736ED5">
            <w:pPr>
              <w:pStyle w:val="ad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  <w:r w:rsidR="00A453AE">
              <w:rPr>
                <w:rFonts w:ascii="Times New Roman" w:hAnsi="Times New Roman"/>
                <w:sz w:val="26"/>
              </w:rPr>
              <w:t>7</w:t>
            </w:r>
          </w:p>
          <w:p w:rsidR="00B850E3" w:rsidRDefault="00B850E3" w:rsidP="00736ED5">
            <w:pPr>
              <w:pStyle w:val="ad"/>
              <w:rPr>
                <w:rFonts w:ascii="Times New Roman" w:hAnsi="Times New Roman"/>
                <w:sz w:val="26"/>
              </w:rPr>
            </w:pPr>
          </w:p>
          <w:p w:rsidR="00B850E3" w:rsidRDefault="00B850E3" w:rsidP="00736ED5">
            <w:pPr>
              <w:pStyle w:val="ad"/>
              <w:rPr>
                <w:rFonts w:ascii="Times New Roman" w:hAnsi="Times New Roman"/>
                <w:sz w:val="26"/>
              </w:rPr>
            </w:pPr>
          </w:p>
          <w:p w:rsidR="00B850E3" w:rsidRDefault="00B850E3" w:rsidP="00736ED5">
            <w:pPr>
              <w:pStyle w:val="ad"/>
              <w:rPr>
                <w:rFonts w:ascii="Times New Roman" w:hAnsi="Times New Roman"/>
                <w:sz w:val="26"/>
              </w:rPr>
            </w:pPr>
          </w:p>
        </w:tc>
      </w:tr>
      <w:tr w:rsidR="00ED26C2" w:rsidTr="00230A77">
        <w:trPr>
          <w:cantSplit/>
          <w:trHeight w:val="93"/>
        </w:trPr>
        <w:tc>
          <w:tcPr>
            <w:tcW w:w="8755" w:type="dxa"/>
            <w:gridSpan w:val="2"/>
          </w:tcPr>
          <w:p w:rsidR="00ED26C2" w:rsidRPr="00ED26C2" w:rsidRDefault="00ED26C2" w:rsidP="00736ED5">
            <w:pPr>
              <w:pStyle w:val="ad"/>
              <w:rPr>
                <w:rFonts w:ascii="Times New Roman" w:hAnsi="Times New Roman"/>
                <w:sz w:val="26"/>
              </w:rPr>
            </w:pPr>
          </w:p>
        </w:tc>
        <w:tc>
          <w:tcPr>
            <w:tcW w:w="992" w:type="dxa"/>
          </w:tcPr>
          <w:p w:rsidR="00ED26C2" w:rsidRDefault="00ED26C2" w:rsidP="00736ED5">
            <w:pPr>
              <w:pStyle w:val="ad"/>
              <w:rPr>
                <w:rFonts w:ascii="Times New Roman" w:hAnsi="Times New Roman"/>
                <w:sz w:val="26"/>
              </w:rPr>
            </w:pPr>
          </w:p>
        </w:tc>
      </w:tr>
    </w:tbl>
    <w:p w:rsidR="00502409" w:rsidRDefault="00502409" w:rsidP="005F169C">
      <w:pPr>
        <w:spacing w:before="240"/>
        <w:ind w:left="357"/>
        <w:jc w:val="both"/>
        <w:rPr>
          <w:lang w:val="uk-UA"/>
        </w:rPr>
      </w:pPr>
    </w:p>
    <w:p w:rsidR="00502409" w:rsidRDefault="00502409">
      <w:pPr>
        <w:rPr>
          <w:lang w:val="uk-UA"/>
        </w:rPr>
      </w:pPr>
      <w:r>
        <w:rPr>
          <w:lang w:val="uk-UA"/>
        </w:rPr>
        <w:br w:type="page"/>
      </w:r>
    </w:p>
    <w:p w:rsidR="00502409" w:rsidRPr="00FA5D89" w:rsidRDefault="00502409" w:rsidP="00A94ADB">
      <w:pPr>
        <w:pBdr>
          <w:bottom w:val="single" w:sz="12" w:space="1" w:color="auto"/>
        </w:pBdr>
        <w:jc w:val="center"/>
        <w:rPr>
          <w:sz w:val="28"/>
          <w:szCs w:val="28"/>
          <w:lang w:val="uk-UA"/>
        </w:rPr>
      </w:pPr>
      <w:r w:rsidRPr="00FA5D89">
        <w:rPr>
          <w:b/>
          <w:sz w:val="28"/>
          <w:szCs w:val="28"/>
          <w:lang w:val="uk-UA"/>
        </w:rPr>
        <w:lastRenderedPageBreak/>
        <w:t>НАЦІОНАЛЬН</w:t>
      </w:r>
      <w:r>
        <w:rPr>
          <w:b/>
          <w:sz w:val="28"/>
          <w:szCs w:val="28"/>
          <w:lang w:val="uk-UA"/>
        </w:rPr>
        <w:t>ИЙ</w:t>
      </w:r>
      <w:r w:rsidRPr="00FA5D89">
        <w:rPr>
          <w:b/>
          <w:sz w:val="28"/>
          <w:szCs w:val="28"/>
          <w:lang w:val="uk-UA"/>
        </w:rPr>
        <w:t xml:space="preserve"> СТАТИСТИЧН</w:t>
      </w:r>
      <w:r>
        <w:rPr>
          <w:b/>
          <w:sz w:val="28"/>
          <w:szCs w:val="28"/>
          <w:lang w:val="uk-UA"/>
        </w:rPr>
        <w:t>ИЙ</w:t>
      </w:r>
      <w:r w:rsidRPr="00FA5D89">
        <w:rPr>
          <w:b/>
          <w:sz w:val="28"/>
          <w:szCs w:val="28"/>
          <w:lang w:val="uk-UA"/>
        </w:rPr>
        <w:t xml:space="preserve"> КЛАСИФІКА</w:t>
      </w:r>
      <w:r>
        <w:rPr>
          <w:b/>
          <w:sz w:val="28"/>
          <w:szCs w:val="28"/>
          <w:lang w:val="uk-UA"/>
        </w:rPr>
        <w:t>ТОР</w:t>
      </w:r>
    </w:p>
    <w:p w:rsidR="00502409" w:rsidRDefault="00502409" w:rsidP="00A94ADB">
      <w:pPr>
        <w:rPr>
          <w:sz w:val="26"/>
          <w:lang w:val="uk-UA"/>
        </w:rPr>
      </w:pPr>
    </w:p>
    <w:p w:rsidR="00502409" w:rsidRDefault="00502409" w:rsidP="002324BF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3"/>
      <w:bookmarkStart w:id="1" w:name="OLE_LINK4"/>
      <w:r>
        <w:rPr>
          <w:rFonts w:ascii="Times New Roman" w:hAnsi="Times New Roman"/>
          <w:b/>
          <w:sz w:val="28"/>
          <w:szCs w:val="28"/>
        </w:rPr>
        <w:t xml:space="preserve">СТАТИСТИЧНИЙ </w:t>
      </w:r>
      <w:r w:rsidRPr="00FA5D89">
        <w:rPr>
          <w:rFonts w:ascii="Times New Roman" w:hAnsi="Times New Roman"/>
          <w:b/>
          <w:sz w:val="28"/>
          <w:szCs w:val="28"/>
        </w:rPr>
        <w:t>КЛАСИФІКА</w:t>
      </w:r>
      <w:r>
        <w:rPr>
          <w:rFonts w:ascii="Times New Roman" w:hAnsi="Times New Roman"/>
          <w:b/>
          <w:sz w:val="28"/>
          <w:szCs w:val="28"/>
        </w:rPr>
        <w:t>ТОР</w:t>
      </w:r>
      <w:r w:rsidRPr="00FA5D89">
        <w:rPr>
          <w:rFonts w:ascii="Times New Roman" w:hAnsi="Times New Roman"/>
          <w:b/>
          <w:sz w:val="28"/>
          <w:szCs w:val="28"/>
        </w:rPr>
        <w:t xml:space="preserve"> </w:t>
      </w:r>
    </w:p>
    <w:p w:rsidR="00502409" w:rsidRDefault="00502409" w:rsidP="002324BF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FA5D89">
        <w:rPr>
          <w:rFonts w:ascii="Times New Roman" w:hAnsi="Times New Roman"/>
          <w:b/>
          <w:sz w:val="28"/>
          <w:szCs w:val="28"/>
        </w:rPr>
        <w:t>ОРГАНІЗАЦІЙН</w:t>
      </w:r>
      <w:r>
        <w:rPr>
          <w:rFonts w:ascii="Times New Roman" w:hAnsi="Times New Roman"/>
          <w:b/>
          <w:sz w:val="28"/>
          <w:szCs w:val="28"/>
        </w:rPr>
        <w:t>ИХ ФОРМ</w:t>
      </w:r>
    </w:p>
    <w:p w:rsidR="00502409" w:rsidRDefault="00502409" w:rsidP="002324BF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C</w:t>
      </w:r>
      <w:r>
        <w:rPr>
          <w:rFonts w:ascii="Times New Roman" w:hAnsi="Times New Roman"/>
          <w:b/>
          <w:sz w:val="28"/>
          <w:szCs w:val="28"/>
        </w:rPr>
        <w:t>УБ</w:t>
      </w:r>
      <w:r w:rsidRPr="00FE0C0B">
        <w:rPr>
          <w:rFonts w:ascii="Times New Roman" w:hAnsi="Times New Roman"/>
          <w:b/>
          <w:sz w:val="28"/>
          <w:szCs w:val="28"/>
          <w:lang w:val="ru-RU"/>
        </w:rPr>
        <w:t>'</w:t>
      </w:r>
      <w:r>
        <w:rPr>
          <w:rFonts w:ascii="Times New Roman" w:hAnsi="Times New Roman"/>
          <w:b/>
          <w:sz w:val="28"/>
          <w:szCs w:val="28"/>
        </w:rPr>
        <w:t>ЄКТІВ ЕКОНОМІКИ</w:t>
      </w:r>
    </w:p>
    <w:p w:rsidR="00502409" w:rsidRDefault="00502409" w:rsidP="007C6F8E">
      <w:pPr>
        <w:pStyle w:val="ad"/>
        <w:jc w:val="center"/>
      </w:pPr>
      <w:r>
        <w:rPr>
          <w:rFonts w:ascii="Times New Roman" w:hAnsi="Times New Roman"/>
          <w:b/>
          <w:sz w:val="28"/>
          <w:szCs w:val="28"/>
        </w:rPr>
        <w:t>(СКОФ)</w:t>
      </w:r>
      <w:bookmarkEnd w:id="0"/>
      <w:bookmarkEnd w:id="1"/>
    </w:p>
    <w:p w:rsidR="00502409" w:rsidRPr="005A2DEE" w:rsidRDefault="00502409" w:rsidP="00DC603E">
      <w:pPr>
        <w:jc w:val="right"/>
        <w:rPr>
          <w:lang w:val="uk-UA"/>
        </w:rPr>
      </w:pPr>
      <w:r w:rsidRPr="005A2DEE">
        <w:rPr>
          <w:lang w:val="uk-UA"/>
        </w:rPr>
        <w:t>_____________________________________________________________________________</w:t>
      </w:r>
    </w:p>
    <w:p w:rsidR="00502409" w:rsidRPr="00FE0C0B" w:rsidRDefault="00502409" w:rsidP="00DC603E">
      <w:pPr>
        <w:jc w:val="right"/>
        <w:rPr>
          <w:lang w:val="uk-UA"/>
        </w:rPr>
      </w:pPr>
      <w:r w:rsidRPr="005A2DEE">
        <w:rPr>
          <w:lang w:val="uk-UA"/>
        </w:rPr>
        <w:t>Чинн</w:t>
      </w:r>
      <w:r>
        <w:rPr>
          <w:lang w:val="uk-UA"/>
        </w:rPr>
        <w:t>ий</w:t>
      </w:r>
      <w:r w:rsidRPr="005A2DEE">
        <w:rPr>
          <w:lang w:val="uk-UA"/>
        </w:rPr>
        <w:t xml:space="preserve"> від </w:t>
      </w:r>
      <w:r w:rsidRPr="00FE0C0B">
        <w:t>0</w:t>
      </w:r>
      <w:r w:rsidRPr="0037777B">
        <w:t>1</w:t>
      </w:r>
      <w:r>
        <w:rPr>
          <w:lang w:val="uk-UA"/>
        </w:rPr>
        <w:t>.</w:t>
      </w:r>
      <w:r w:rsidRPr="0037777B">
        <w:t>01</w:t>
      </w:r>
      <w:r>
        <w:rPr>
          <w:lang w:val="uk-UA"/>
        </w:rPr>
        <w:t>.2015</w:t>
      </w:r>
    </w:p>
    <w:p w:rsidR="00502409" w:rsidRPr="005A2DEE" w:rsidRDefault="00502409" w:rsidP="00DC603E">
      <w:pPr>
        <w:jc w:val="center"/>
        <w:rPr>
          <w:b/>
          <w:sz w:val="28"/>
          <w:szCs w:val="28"/>
          <w:lang w:val="uk-UA"/>
        </w:rPr>
      </w:pPr>
    </w:p>
    <w:p w:rsidR="00502409" w:rsidRPr="005A2DEE" w:rsidRDefault="00502409" w:rsidP="00DC603E">
      <w:pPr>
        <w:jc w:val="center"/>
        <w:rPr>
          <w:b/>
          <w:sz w:val="28"/>
          <w:szCs w:val="28"/>
          <w:lang w:val="uk-UA"/>
        </w:rPr>
      </w:pPr>
      <w:r w:rsidRPr="005A2DEE">
        <w:rPr>
          <w:b/>
          <w:sz w:val="28"/>
          <w:szCs w:val="28"/>
          <w:lang w:val="uk-UA"/>
        </w:rPr>
        <w:t>1. Вступ</w:t>
      </w:r>
    </w:p>
    <w:p w:rsidR="00502409" w:rsidRPr="00745C53" w:rsidRDefault="00502409" w:rsidP="009F1CC2">
      <w:pPr>
        <w:spacing w:before="120" w:line="276" w:lineRule="auto"/>
        <w:jc w:val="both"/>
        <w:rPr>
          <w:lang w:val="uk-UA"/>
        </w:rPr>
      </w:pPr>
      <w:r w:rsidRPr="00745C53">
        <w:rPr>
          <w:lang w:val="uk-UA"/>
        </w:rPr>
        <w:t>За методологічними засадами, принципами побудови та призначенням статистичні класифіка</w:t>
      </w:r>
      <w:r>
        <w:rPr>
          <w:lang w:val="uk-UA"/>
        </w:rPr>
        <w:t>тори</w:t>
      </w:r>
      <w:r w:rsidRPr="00745C53">
        <w:rPr>
          <w:lang w:val="uk-UA"/>
        </w:rPr>
        <w:t xml:space="preserve"> створені для систематизації та групування (узагальнення) економічної та соціальної інформації у стандартний формат, який дає змогу обробляти </w:t>
      </w:r>
      <w:r>
        <w:rPr>
          <w:lang w:val="uk-UA"/>
        </w:rPr>
        <w:t>й</w:t>
      </w:r>
      <w:r w:rsidRPr="00745C53">
        <w:rPr>
          <w:lang w:val="uk-UA"/>
        </w:rPr>
        <w:t xml:space="preserve"> аналізувати значні обсяги інформації. </w:t>
      </w:r>
      <w:r>
        <w:rPr>
          <w:lang w:val="uk-UA"/>
        </w:rPr>
        <w:t>У</w:t>
      </w:r>
      <w:r w:rsidRPr="00745C53">
        <w:rPr>
          <w:lang w:val="uk-UA"/>
        </w:rPr>
        <w:t xml:space="preserve"> статистичних класифіка</w:t>
      </w:r>
      <w:r>
        <w:rPr>
          <w:lang w:val="uk-UA"/>
        </w:rPr>
        <w:t>торах</w:t>
      </w:r>
      <w:r w:rsidRPr="00745C53">
        <w:rPr>
          <w:lang w:val="uk-UA"/>
        </w:rPr>
        <w:t xml:space="preserve"> усі подібні об’єкти зібрані в окремі угруповання, яким надано індивідуальні коди. </w:t>
      </w:r>
    </w:p>
    <w:p w:rsidR="00502409" w:rsidRPr="00745C53" w:rsidRDefault="00502409" w:rsidP="009F1CC2">
      <w:pPr>
        <w:spacing w:before="120" w:line="276" w:lineRule="auto"/>
        <w:jc w:val="both"/>
        <w:rPr>
          <w:lang w:val="uk-UA"/>
        </w:rPr>
      </w:pPr>
      <w:r w:rsidRPr="00745C53">
        <w:rPr>
          <w:lang w:val="uk-UA"/>
        </w:rPr>
        <w:t>Статистичн</w:t>
      </w:r>
      <w:r>
        <w:rPr>
          <w:lang w:val="uk-UA"/>
        </w:rPr>
        <w:t>ий</w:t>
      </w:r>
      <w:r w:rsidRPr="00745C53">
        <w:rPr>
          <w:lang w:val="uk-UA"/>
        </w:rPr>
        <w:t xml:space="preserve"> класифіка</w:t>
      </w:r>
      <w:r>
        <w:rPr>
          <w:lang w:val="uk-UA"/>
        </w:rPr>
        <w:t>тор</w:t>
      </w:r>
      <w:r w:rsidRPr="00745C53">
        <w:rPr>
          <w:lang w:val="uk-UA"/>
        </w:rPr>
        <w:t xml:space="preserve"> організаційних форм </w:t>
      </w:r>
      <w:r>
        <w:rPr>
          <w:lang w:val="uk-UA"/>
        </w:rPr>
        <w:t>суб</w:t>
      </w:r>
      <w:r w:rsidRPr="00745C53">
        <w:rPr>
          <w:lang w:val="uk-UA"/>
        </w:rPr>
        <w:t>’</w:t>
      </w:r>
      <w:r>
        <w:rPr>
          <w:lang w:val="uk-UA"/>
        </w:rPr>
        <w:t>єктів економіки (</w:t>
      </w:r>
      <w:r w:rsidRPr="00745C53">
        <w:rPr>
          <w:lang w:val="uk-UA"/>
        </w:rPr>
        <w:t>СКОФ</w:t>
      </w:r>
      <w:r>
        <w:rPr>
          <w:lang w:val="uk-UA"/>
        </w:rPr>
        <w:t>)</w:t>
      </w:r>
      <w:r w:rsidRPr="00745C53">
        <w:rPr>
          <w:lang w:val="uk-UA"/>
        </w:rPr>
        <w:t xml:space="preserve"> за своїм статусом є нормативно-технічним документом, який призначений і використовується для систематизації і впорядкування статистичної та адміністративної інформації органами державної статистики</w:t>
      </w:r>
      <w:r>
        <w:rPr>
          <w:lang w:val="uk-UA"/>
        </w:rPr>
        <w:t>,</w:t>
      </w:r>
      <w:r w:rsidRPr="00745C53">
        <w:rPr>
          <w:lang w:val="uk-UA"/>
        </w:rPr>
        <w:t xml:space="preserve"> органами державного управління та іншими користувачами </w:t>
      </w:r>
      <w:r>
        <w:rPr>
          <w:lang w:val="uk-UA"/>
        </w:rPr>
        <w:t xml:space="preserve">в процесі </w:t>
      </w:r>
      <w:r w:rsidRPr="00745C53">
        <w:rPr>
          <w:lang w:val="uk-UA"/>
        </w:rPr>
        <w:t xml:space="preserve">обліку, збирання, систематизації та структурування інформації щодо організаційної </w:t>
      </w:r>
      <w:r>
        <w:rPr>
          <w:lang w:val="uk-UA"/>
        </w:rPr>
        <w:t xml:space="preserve">та правової </w:t>
      </w:r>
      <w:r w:rsidRPr="00745C53">
        <w:rPr>
          <w:lang w:val="uk-UA"/>
        </w:rPr>
        <w:t xml:space="preserve">форми, в якій діє суб’єкт господарського права (юридична особа). </w:t>
      </w:r>
    </w:p>
    <w:p w:rsidR="00502409" w:rsidRPr="00874311" w:rsidRDefault="00502409" w:rsidP="009F1CC2">
      <w:pPr>
        <w:spacing w:before="120" w:line="276" w:lineRule="auto"/>
        <w:jc w:val="both"/>
        <w:rPr>
          <w:lang w:val="uk-UA"/>
        </w:rPr>
      </w:pPr>
      <w:r w:rsidRPr="00874311">
        <w:rPr>
          <w:lang w:val="uk-UA"/>
        </w:rPr>
        <w:t xml:space="preserve">Організаційна форма юридичної особи – це сукупність </w:t>
      </w:r>
      <w:r>
        <w:rPr>
          <w:lang w:val="uk-UA"/>
        </w:rPr>
        <w:t>у</w:t>
      </w:r>
      <w:r w:rsidRPr="00874311">
        <w:rPr>
          <w:lang w:val="uk-UA"/>
        </w:rPr>
        <w:t>становлених нормами законодавства організаційних елементів, які визначають спосіб та порядок створення юридичної особи, виражають особливості сфери її діяльності та правовідносин (майнових, господарських, управлінських, земельних, трудових тощо), які виникають у процесі діяльності юридичної особи. Існування законодавчого переліку організаційних форм юридичних осіб дає змогу чітко розмежувати різн</w:t>
      </w:r>
      <w:r>
        <w:rPr>
          <w:lang w:val="uk-UA"/>
        </w:rPr>
        <w:t>і</w:t>
      </w:r>
      <w:r w:rsidRPr="00874311">
        <w:rPr>
          <w:lang w:val="uk-UA"/>
        </w:rPr>
        <w:t xml:space="preserve"> суб’єкт</w:t>
      </w:r>
      <w:r>
        <w:rPr>
          <w:lang w:val="uk-UA"/>
        </w:rPr>
        <w:t>и</w:t>
      </w:r>
      <w:r w:rsidRPr="00874311">
        <w:rPr>
          <w:lang w:val="uk-UA"/>
        </w:rPr>
        <w:t xml:space="preserve"> господарювання з метою забезпечення можливості вільного вибору форми їх діяльності та різноманітності форм реалізації права на підприємницьку діяльність.</w:t>
      </w:r>
    </w:p>
    <w:p w:rsidR="00502409" w:rsidRPr="00874311" w:rsidRDefault="00502409" w:rsidP="009F1CC2">
      <w:pPr>
        <w:spacing w:before="120" w:line="276" w:lineRule="auto"/>
        <w:jc w:val="both"/>
        <w:rPr>
          <w:lang w:val="uk-UA"/>
        </w:rPr>
      </w:pPr>
      <w:r w:rsidRPr="00874311">
        <w:rPr>
          <w:lang w:val="uk-UA"/>
        </w:rPr>
        <w:t>Організаційна форма суб</w:t>
      </w:r>
      <w:r w:rsidRPr="00745C53">
        <w:rPr>
          <w:lang w:val="uk-UA"/>
        </w:rPr>
        <w:t>’</w:t>
      </w:r>
      <w:r w:rsidRPr="00874311">
        <w:rPr>
          <w:lang w:val="uk-UA"/>
        </w:rPr>
        <w:t xml:space="preserve">єкта ґрунтується на відповідній правовій основі, що дозволяє розмежовувати ті чи інші види юридичних осіб, використовуючи певний набір класифікаційних ознак. </w:t>
      </w:r>
    </w:p>
    <w:p w:rsidR="00502409" w:rsidRPr="00874311" w:rsidRDefault="00502409" w:rsidP="009F1CC2">
      <w:pPr>
        <w:spacing w:before="120" w:line="276" w:lineRule="auto"/>
        <w:jc w:val="both"/>
        <w:rPr>
          <w:lang w:val="uk-UA"/>
        </w:rPr>
      </w:pPr>
      <w:r w:rsidRPr="00874311">
        <w:rPr>
          <w:lang w:val="uk-UA"/>
        </w:rPr>
        <w:t xml:space="preserve">Вибір форми </w:t>
      </w:r>
      <w:r>
        <w:rPr>
          <w:lang w:val="uk-UA"/>
        </w:rPr>
        <w:t xml:space="preserve">господарювання </w:t>
      </w:r>
      <w:r w:rsidRPr="00874311">
        <w:rPr>
          <w:lang w:val="uk-UA"/>
        </w:rPr>
        <w:t>визначає певний набір факторів, головними з яких є такі елементи організаційної структури:</w:t>
      </w:r>
    </w:p>
    <w:p w:rsidR="00502409" w:rsidRPr="00745C53" w:rsidRDefault="00502409" w:rsidP="00502409">
      <w:pPr>
        <w:pStyle w:val="af1"/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eastAsia="TimesNewRomanPSMT"/>
          <w:lang w:val="uk-UA"/>
        </w:rPr>
      </w:pPr>
      <w:r w:rsidRPr="00745C53">
        <w:rPr>
          <w:rFonts w:eastAsia="TimesNewRomanPSMT"/>
          <w:lang w:val="uk-UA"/>
        </w:rPr>
        <w:t>мета юридичної особи</w:t>
      </w:r>
      <w:r>
        <w:rPr>
          <w:rFonts w:eastAsia="TimesNewRomanPSMT"/>
          <w:lang w:val="uk-UA"/>
        </w:rPr>
        <w:t>;</w:t>
      </w:r>
      <w:r w:rsidRPr="00745C53">
        <w:rPr>
          <w:rFonts w:eastAsia="TimesNewRomanPSMT"/>
          <w:lang w:val="uk-UA"/>
        </w:rPr>
        <w:t xml:space="preserve"> </w:t>
      </w:r>
    </w:p>
    <w:p w:rsidR="00502409" w:rsidRPr="00745C53" w:rsidRDefault="00502409" w:rsidP="00502409">
      <w:pPr>
        <w:pStyle w:val="af1"/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eastAsia="TimesNewRomanPSMT"/>
          <w:lang w:val="uk-UA"/>
        </w:rPr>
      </w:pPr>
      <w:r w:rsidRPr="00745C53">
        <w:rPr>
          <w:rFonts w:eastAsia="TimesNewRomanPSMT"/>
          <w:lang w:val="uk-UA"/>
        </w:rPr>
        <w:t>склад учасників</w:t>
      </w:r>
      <w:r>
        <w:rPr>
          <w:rFonts w:eastAsia="TimesNewRomanPSMT"/>
          <w:lang w:val="uk-UA"/>
        </w:rPr>
        <w:t>;</w:t>
      </w:r>
      <w:r w:rsidRPr="00745C53">
        <w:rPr>
          <w:rFonts w:eastAsia="TimesNewRomanPSMT"/>
          <w:lang w:val="uk-UA"/>
        </w:rPr>
        <w:t xml:space="preserve"> </w:t>
      </w:r>
    </w:p>
    <w:p w:rsidR="00502409" w:rsidRPr="00745C53" w:rsidRDefault="00502409" w:rsidP="00502409">
      <w:pPr>
        <w:pStyle w:val="af1"/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eastAsia="TimesNewRomanPSMT"/>
          <w:lang w:val="uk-UA"/>
        </w:rPr>
      </w:pPr>
      <w:r w:rsidRPr="00745C53">
        <w:rPr>
          <w:rFonts w:eastAsia="TimesNewRomanPSMT"/>
          <w:lang w:val="uk-UA"/>
        </w:rPr>
        <w:t>спос</w:t>
      </w:r>
      <w:r>
        <w:rPr>
          <w:rFonts w:eastAsia="TimesNewRomanPSMT"/>
          <w:lang w:val="uk-UA"/>
        </w:rPr>
        <w:t>і</w:t>
      </w:r>
      <w:r w:rsidRPr="00745C53">
        <w:rPr>
          <w:rFonts w:eastAsia="TimesNewRomanPSMT"/>
          <w:lang w:val="uk-UA"/>
        </w:rPr>
        <w:t>б формування капіталу</w:t>
      </w:r>
      <w:r>
        <w:rPr>
          <w:rFonts w:eastAsia="TimesNewRomanPSMT"/>
          <w:lang w:val="uk-UA"/>
        </w:rPr>
        <w:t>;</w:t>
      </w:r>
    </w:p>
    <w:p w:rsidR="00502409" w:rsidRPr="00745C53" w:rsidRDefault="00502409" w:rsidP="00502409">
      <w:pPr>
        <w:pStyle w:val="af1"/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eastAsia="TimesNewRomanPSMT"/>
          <w:lang w:val="uk-UA"/>
        </w:rPr>
      </w:pPr>
      <w:r w:rsidRPr="00745C53">
        <w:rPr>
          <w:rFonts w:eastAsia="TimesNewRomanPSMT"/>
          <w:lang w:val="uk-UA"/>
        </w:rPr>
        <w:t>мінімальна вартість майна</w:t>
      </w:r>
      <w:r>
        <w:rPr>
          <w:rFonts w:eastAsia="TimesNewRomanPSMT"/>
          <w:lang w:val="uk-UA"/>
        </w:rPr>
        <w:t>;</w:t>
      </w:r>
      <w:r w:rsidRPr="00745C53">
        <w:rPr>
          <w:rFonts w:eastAsia="TimesNewRomanPSMT"/>
          <w:lang w:val="uk-UA"/>
        </w:rPr>
        <w:t xml:space="preserve"> </w:t>
      </w:r>
    </w:p>
    <w:p w:rsidR="00502409" w:rsidRPr="00745C53" w:rsidRDefault="00502409" w:rsidP="00502409">
      <w:pPr>
        <w:pStyle w:val="af1"/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eastAsia="TimesNewRomanPSMT"/>
          <w:lang w:val="uk-UA"/>
        </w:rPr>
      </w:pPr>
      <w:r w:rsidRPr="00745C53">
        <w:rPr>
          <w:rFonts w:eastAsia="TimesNewRomanPSMT"/>
          <w:lang w:val="uk-UA"/>
        </w:rPr>
        <w:t>майнов</w:t>
      </w:r>
      <w:r>
        <w:rPr>
          <w:rFonts w:eastAsia="TimesNewRomanPSMT"/>
          <w:lang w:val="uk-UA"/>
        </w:rPr>
        <w:t>а</w:t>
      </w:r>
      <w:r w:rsidRPr="00745C53">
        <w:rPr>
          <w:rFonts w:eastAsia="TimesNewRomanPSMT"/>
          <w:lang w:val="uk-UA"/>
        </w:rPr>
        <w:t xml:space="preserve"> відповідальн</w:t>
      </w:r>
      <w:r>
        <w:rPr>
          <w:rFonts w:eastAsia="TimesNewRomanPSMT"/>
          <w:lang w:val="uk-UA"/>
        </w:rPr>
        <w:t>і</w:t>
      </w:r>
      <w:r w:rsidRPr="00745C53">
        <w:rPr>
          <w:rFonts w:eastAsia="TimesNewRomanPSMT"/>
          <w:lang w:val="uk-UA"/>
        </w:rPr>
        <w:t>ст</w:t>
      </w:r>
      <w:r>
        <w:rPr>
          <w:rFonts w:eastAsia="TimesNewRomanPSMT"/>
          <w:lang w:val="uk-UA"/>
        </w:rPr>
        <w:t>ь</w:t>
      </w:r>
      <w:r w:rsidRPr="00745C53">
        <w:rPr>
          <w:rFonts w:eastAsia="TimesNewRomanPSMT"/>
          <w:lang w:val="uk-UA"/>
        </w:rPr>
        <w:t xml:space="preserve"> по зобов'язаннях</w:t>
      </w:r>
      <w:r>
        <w:rPr>
          <w:rFonts w:eastAsia="TimesNewRomanPSMT"/>
          <w:lang w:val="uk-UA"/>
        </w:rPr>
        <w:t>;</w:t>
      </w:r>
      <w:r w:rsidRPr="00745C53">
        <w:rPr>
          <w:rFonts w:eastAsia="TimesNewRomanPSMT"/>
          <w:lang w:val="uk-UA"/>
        </w:rPr>
        <w:t xml:space="preserve"> </w:t>
      </w:r>
    </w:p>
    <w:p w:rsidR="00502409" w:rsidRPr="00745C53" w:rsidRDefault="00502409" w:rsidP="00502409">
      <w:pPr>
        <w:pStyle w:val="af1"/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eastAsia="TimesNewRomanPSMT"/>
          <w:lang w:val="uk-UA"/>
        </w:rPr>
      </w:pPr>
      <w:r w:rsidRPr="00745C53">
        <w:rPr>
          <w:rFonts w:eastAsia="TimesNewRomanPSMT"/>
          <w:lang w:val="uk-UA"/>
        </w:rPr>
        <w:t>організація управління</w:t>
      </w:r>
      <w:r>
        <w:rPr>
          <w:rFonts w:eastAsia="TimesNewRomanPSMT"/>
          <w:lang w:val="uk-UA"/>
        </w:rPr>
        <w:t>;</w:t>
      </w:r>
      <w:r w:rsidRPr="00745C53">
        <w:rPr>
          <w:rFonts w:eastAsia="TimesNewRomanPSMT"/>
          <w:lang w:val="uk-UA"/>
        </w:rPr>
        <w:t xml:space="preserve"> </w:t>
      </w:r>
    </w:p>
    <w:p w:rsidR="00502409" w:rsidRPr="00745C53" w:rsidRDefault="00502409" w:rsidP="00502409">
      <w:pPr>
        <w:pStyle w:val="af1"/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eastAsia="TimesNewRomanPSMT"/>
          <w:lang w:val="uk-UA"/>
        </w:rPr>
      </w:pPr>
      <w:r w:rsidRPr="00745C53">
        <w:rPr>
          <w:rFonts w:eastAsia="TimesNewRomanPSMT"/>
          <w:lang w:val="uk-UA"/>
        </w:rPr>
        <w:t>права та обов</w:t>
      </w:r>
      <w:r w:rsidRPr="00745C53">
        <w:rPr>
          <w:lang w:val="uk-UA"/>
        </w:rPr>
        <w:t>’</w:t>
      </w:r>
      <w:r w:rsidRPr="00745C53">
        <w:rPr>
          <w:rFonts w:eastAsia="TimesNewRomanPSMT"/>
          <w:lang w:val="uk-UA"/>
        </w:rPr>
        <w:t>язки учасників</w:t>
      </w:r>
      <w:r>
        <w:rPr>
          <w:rFonts w:eastAsia="TimesNewRomanPSMT"/>
          <w:lang w:val="uk-UA"/>
        </w:rPr>
        <w:t>;</w:t>
      </w:r>
      <w:r w:rsidRPr="00745C53">
        <w:rPr>
          <w:rFonts w:eastAsia="TimesNewRomanPSMT"/>
          <w:lang w:val="uk-UA"/>
        </w:rPr>
        <w:t xml:space="preserve"> </w:t>
      </w:r>
    </w:p>
    <w:p w:rsidR="00502409" w:rsidRDefault="00502409" w:rsidP="00502409">
      <w:pPr>
        <w:pStyle w:val="af1"/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eastAsia="TimesNewRomanPSMT"/>
          <w:lang w:val="uk-UA"/>
        </w:rPr>
      </w:pPr>
      <w:r w:rsidRPr="00A907B8">
        <w:rPr>
          <w:rFonts w:eastAsia="TimesNewRomanPSMT"/>
          <w:lang w:val="uk-UA"/>
        </w:rPr>
        <w:t>умови відповідальності юридичної особи та її учасників;</w:t>
      </w:r>
    </w:p>
    <w:p w:rsidR="00502409" w:rsidRPr="00A907B8" w:rsidRDefault="00502409" w:rsidP="00502409">
      <w:pPr>
        <w:pStyle w:val="af1"/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eastAsia="TimesNewRomanPSMT"/>
          <w:lang w:val="uk-UA"/>
        </w:rPr>
      </w:pPr>
      <w:r w:rsidRPr="00A907B8">
        <w:rPr>
          <w:rFonts w:eastAsia="TimesNewRomanPSMT"/>
          <w:lang w:val="uk-UA"/>
        </w:rPr>
        <w:t>взаємовідносини з учасниками та учасників один з одним</w:t>
      </w:r>
      <w:r>
        <w:rPr>
          <w:rFonts w:eastAsia="TimesNewRomanPSMT"/>
          <w:lang w:val="uk-UA"/>
        </w:rPr>
        <w:t>.</w:t>
      </w:r>
      <w:r w:rsidRPr="00A907B8">
        <w:rPr>
          <w:rFonts w:eastAsia="TimesNewRomanPSMT"/>
          <w:lang w:val="uk-UA"/>
        </w:rPr>
        <w:t xml:space="preserve"> </w:t>
      </w:r>
    </w:p>
    <w:p w:rsidR="00502409" w:rsidRPr="0041179D" w:rsidRDefault="00502409" w:rsidP="009F1CC2">
      <w:pPr>
        <w:spacing w:before="120" w:line="276" w:lineRule="auto"/>
        <w:jc w:val="both"/>
        <w:rPr>
          <w:lang w:val="uk-UA" w:eastAsia="uk-UA"/>
        </w:rPr>
      </w:pPr>
      <w:r w:rsidRPr="00A907B8">
        <w:rPr>
          <w:lang w:val="uk-UA" w:eastAsia="uk-UA"/>
        </w:rPr>
        <w:lastRenderedPageBreak/>
        <w:t>Усі організаційні одиниці</w:t>
      </w:r>
      <w:r w:rsidRPr="0041179D">
        <w:rPr>
          <w:lang w:val="uk-UA" w:eastAsia="uk-UA"/>
        </w:rPr>
        <w:t xml:space="preserve">, тобто </w:t>
      </w:r>
      <w:r w:rsidRPr="00A907B8">
        <w:rPr>
          <w:lang w:val="uk-UA" w:eastAsia="uk-UA"/>
        </w:rPr>
        <w:t>юридичні особи</w:t>
      </w:r>
      <w:r w:rsidRPr="0041179D">
        <w:rPr>
          <w:lang w:val="uk-UA" w:eastAsia="uk-UA"/>
        </w:rPr>
        <w:t>, розрізняються за правовими, фінансово-економічними та організаційно-управлінськими ознаками.</w:t>
      </w:r>
    </w:p>
    <w:p w:rsidR="00502409" w:rsidRPr="00FE0C0B" w:rsidRDefault="00502409" w:rsidP="009F1CC2">
      <w:pPr>
        <w:spacing w:before="120" w:line="276" w:lineRule="auto"/>
        <w:jc w:val="both"/>
        <w:rPr>
          <w:lang w:val="uk-UA"/>
        </w:rPr>
      </w:pPr>
      <w:r w:rsidRPr="00FE0C0B">
        <w:rPr>
          <w:lang w:val="uk-UA" w:eastAsia="uk-UA"/>
        </w:rPr>
        <w:t xml:space="preserve">Зважаючи на це, юридичні особи поділяються на тих, що здійснюють господарську комерційну діяльність (підприємництво) або некомерційну діяльність. Ця класифікаційна ознака СКОФ використовується органами державної статистики в процесі </w:t>
      </w:r>
      <w:r w:rsidRPr="00FE0C0B">
        <w:rPr>
          <w:lang w:val="uk-UA"/>
        </w:rPr>
        <w:t>забезпечення єдиного державного обліку суб</w:t>
      </w:r>
      <w:r w:rsidRPr="00745C53">
        <w:rPr>
          <w:lang w:val="uk-UA"/>
        </w:rPr>
        <w:t>’</w:t>
      </w:r>
      <w:r w:rsidRPr="00FE0C0B">
        <w:rPr>
          <w:lang w:val="uk-UA"/>
        </w:rPr>
        <w:t>єктів у Єдиному державному реєстрі підприємств та організацій України та створенні реєстрів респондентів статистичних спостережень (статистичних реєстрів), класифікації суб</w:t>
      </w:r>
      <w:r w:rsidRPr="00745C53">
        <w:rPr>
          <w:lang w:val="uk-UA"/>
        </w:rPr>
        <w:t>’</w:t>
      </w:r>
      <w:r w:rsidRPr="00FE0C0B">
        <w:rPr>
          <w:lang w:val="uk-UA"/>
        </w:rPr>
        <w:t>єктів для формування списків респондентів статистичних спостережень та отримання статистичної інформації у формалізованому вигляді.</w:t>
      </w:r>
    </w:p>
    <w:p w:rsidR="00502409" w:rsidRPr="00745C53" w:rsidRDefault="00502409" w:rsidP="009F1CC2">
      <w:pPr>
        <w:spacing w:before="120" w:line="276" w:lineRule="auto"/>
        <w:jc w:val="both"/>
        <w:rPr>
          <w:lang w:val="uk-UA"/>
        </w:rPr>
      </w:pPr>
      <w:r w:rsidRPr="00745C53">
        <w:rPr>
          <w:lang w:val="uk-UA"/>
        </w:rPr>
        <w:t xml:space="preserve">СКОФ </w:t>
      </w:r>
      <w:r>
        <w:rPr>
          <w:lang w:val="uk-UA"/>
        </w:rPr>
        <w:t xml:space="preserve">також </w:t>
      </w:r>
      <w:r w:rsidRPr="00745C53">
        <w:rPr>
          <w:lang w:val="uk-UA"/>
        </w:rPr>
        <w:t xml:space="preserve">використовується для вирішення завдань, пов’язаних </w:t>
      </w:r>
      <w:r>
        <w:rPr>
          <w:lang w:val="uk-UA"/>
        </w:rPr>
        <w:t>і</w:t>
      </w:r>
      <w:r w:rsidRPr="00745C53">
        <w:rPr>
          <w:lang w:val="uk-UA"/>
        </w:rPr>
        <w:t xml:space="preserve">з формуванням державних інформаційних систем і ресурсів, веденням державних реєстрів, зокрема Єдиного державного реєстру підприємств та організацій України (ЄДРПОУ), Єдиного державного реєстру юридичних осіб та фізичних осіб-підприємців, Єдиного реєстру об’єктів державної власності та інших, забезпеченням міжвідомчого інформаційного обміну, аналізом </w:t>
      </w:r>
      <w:r>
        <w:rPr>
          <w:lang w:val="uk-UA"/>
        </w:rPr>
        <w:t>і</w:t>
      </w:r>
      <w:r w:rsidRPr="00745C53">
        <w:rPr>
          <w:lang w:val="uk-UA"/>
        </w:rPr>
        <w:t xml:space="preserve"> узагальненням статистичної та адміністративної інформації щодо державної реєстрації та результатів економічної діяльності суб’єктів.</w:t>
      </w:r>
    </w:p>
    <w:p w:rsidR="00502409" w:rsidRPr="00745C53" w:rsidRDefault="00502409" w:rsidP="009F1CC2">
      <w:pPr>
        <w:spacing w:before="120" w:line="276" w:lineRule="auto"/>
        <w:jc w:val="both"/>
        <w:rPr>
          <w:lang w:val="uk-UA"/>
        </w:rPr>
      </w:pPr>
      <w:r w:rsidRPr="00745C53">
        <w:rPr>
          <w:lang w:val="uk-UA"/>
        </w:rPr>
        <w:t xml:space="preserve">Кожна позиція </w:t>
      </w:r>
      <w:r>
        <w:rPr>
          <w:lang w:val="uk-UA"/>
        </w:rPr>
        <w:t>С</w:t>
      </w:r>
      <w:r w:rsidRPr="00745C53">
        <w:rPr>
          <w:lang w:val="uk-UA"/>
        </w:rPr>
        <w:t xml:space="preserve">КОФ структурно складається з тризначного коду та назви </w:t>
      </w:r>
      <w:r w:rsidRPr="00745C53">
        <w:rPr>
          <w:lang w:val="uk-UA"/>
        </w:rPr>
        <w:br/>
        <w:t>організаційної форми. Код побудований з використанням серійно-порядкового методу кодування. Групувальні коди серій (100, 200, 300, 400, 500, 600, 700, 800 та 900) та їхні назви використовують виключно для узагальнення об’єктів класифікації і не призначені для безпосереднього кодування організаційних форм</w:t>
      </w:r>
      <w:r>
        <w:rPr>
          <w:lang w:val="uk-UA"/>
        </w:rPr>
        <w:t xml:space="preserve"> юридичних осіб</w:t>
      </w:r>
      <w:r w:rsidRPr="00745C53">
        <w:rPr>
          <w:lang w:val="uk-UA"/>
        </w:rPr>
        <w:t>.</w:t>
      </w:r>
    </w:p>
    <w:p w:rsidR="00502409" w:rsidRPr="00745C53" w:rsidRDefault="00502409" w:rsidP="009F1CC2">
      <w:pPr>
        <w:spacing w:before="120" w:line="276" w:lineRule="auto"/>
        <w:jc w:val="both"/>
        <w:rPr>
          <w:lang w:val="uk-UA"/>
        </w:rPr>
      </w:pPr>
      <w:r w:rsidRPr="00745C53">
        <w:rPr>
          <w:lang w:val="uk-UA"/>
        </w:rPr>
        <w:t xml:space="preserve">Деякі позиції </w:t>
      </w:r>
      <w:r>
        <w:rPr>
          <w:lang w:val="uk-UA"/>
        </w:rPr>
        <w:t>С</w:t>
      </w:r>
      <w:r w:rsidRPr="00745C53">
        <w:rPr>
          <w:lang w:val="uk-UA"/>
        </w:rPr>
        <w:t>КОФ у назві мають частину, яка наведена у дужках. Наявність у назві класифікаційної позиції альтернативної частини назви визначає можливі варіанти застосування організаційно</w:t>
      </w:r>
      <w:r>
        <w:rPr>
          <w:lang w:val="uk-UA"/>
        </w:rPr>
        <w:t>ї</w:t>
      </w:r>
      <w:r w:rsidRPr="00745C53">
        <w:rPr>
          <w:lang w:val="uk-UA"/>
        </w:rPr>
        <w:t xml:space="preserve"> форми. Так, під час формування найменування підприємства, створеного, наприклад, профспілкою, слід використовувати позицію класифіка</w:t>
      </w:r>
      <w:r>
        <w:rPr>
          <w:lang w:val="uk-UA"/>
        </w:rPr>
        <w:t>тора "</w:t>
      </w:r>
      <w:r w:rsidRPr="00745C53">
        <w:rPr>
          <w:lang w:val="uk-UA"/>
        </w:rPr>
        <w:t>Підприємство об’єднання громадян (релігійної організації, профспілки)</w:t>
      </w:r>
      <w:r>
        <w:rPr>
          <w:lang w:val="uk-UA"/>
        </w:rPr>
        <w:t>"</w:t>
      </w:r>
      <w:r w:rsidRPr="00745C53">
        <w:rPr>
          <w:lang w:val="uk-UA"/>
        </w:rPr>
        <w:t>, код 180 у значен</w:t>
      </w:r>
      <w:r>
        <w:rPr>
          <w:lang w:val="uk-UA"/>
        </w:rPr>
        <w:t>н</w:t>
      </w:r>
      <w:r w:rsidRPr="00745C53">
        <w:rPr>
          <w:lang w:val="uk-UA"/>
        </w:rPr>
        <w:t xml:space="preserve">і </w:t>
      </w:r>
      <w:r>
        <w:rPr>
          <w:lang w:val="uk-UA"/>
        </w:rPr>
        <w:t>"</w:t>
      </w:r>
      <w:r w:rsidRPr="00745C53">
        <w:rPr>
          <w:lang w:val="uk-UA"/>
        </w:rPr>
        <w:t>Підприємство профспілки</w:t>
      </w:r>
      <w:r>
        <w:rPr>
          <w:lang w:val="uk-UA"/>
        </w:rPr>
        <w:t>"</w:t>
      </w:r>
      <w:r w:rsidRPr="00745C53">
        <w:rPr>
          <w:lang w:val="uk-UA"/>
        </w:rPr>
        <w:t>.</w:t>
      </w:r>
    </w:p>
    <w:p w:rsidR="00502409" w:rsidRPr="00745C53" w:rsidRDefault="00502409" w:rsidP="009F1CC2">
      <w:pPr>
        <w:spacing w:before="120" w:line="276" w:lineRule="auto"/>
        <w:jc w:val="both"/>
        <w:rPr>
          <w:lang w:val="uk-UA"/>
        </w:rPr>
      </w:pPr>
      <w:r w:rsidRPr="00745C53">
        <w:rPr>
          <w:lang w:val="uk-UA"/>
        </w:rPr>
        <w:t xml:space="preserve">Для порівнювання кодів </w:t>
      </w:r>
      <w:r>
        <w:rPr>
          <w:lang w:val="uk-UA"/>
        </w:rPr>
        <w:t>СКОФ із</w:t>
      </w:r>
      <w:r w:rsidRPr="00745C53">
        <w:rPr>
          <w:lang w:val="uk-UA"/>
        </w:rPr>
        <w:t xml:space="preserve"> попередніми версіями </w:t>
      </w:r>
      <w:r>
        <w:rPr>
          <w:lang w:val="uk-UA"/>
        </w:rPr>
        <w:t xml:space="preserve">аналогічного </w:t>
      </w:r>
      <w:r w:rsidRPr="00745C53">
        <w:rPr>
          <w:lang w:val="uk-UA"/>
        </w:rPr>
        <w:t>класифікатор</w:t>
      </w:r>
      <w:r>
        <w:rPr>
          <w:lang w:val="uk-UA"/>
        </w:rPr>
        <w:t>а</w:t>
      </w:r>
      <w:r>
        <w:rPr>
          <w:lang w:val="uk-UA"/>
        </w:rPr>
        <w:br/>
      </w:r>
      <w:r w:rsidRPr="00745C53">
        <w:rPr>
          <w:lang w:val="uk-UA"/>
        </w:rPr>
        <w:t>(ДК 002-94 та ДК 002:2004) у додатку А наведено перехідну таблицю.</w:t>
      </w:r>
    </w:p>
    <w:p w:rsidR="00502409" w:rsidRDefault="00502409" w:rsidP="00B5108F">
      <w:pPr>
        <w:spacing w:before="120" w:line="276" w:lineRule="auto"/>
        <w:jc w:val="both"/>
        <w:rPr>
          <w:lang w:val="uk-UA"/>
        </w:rPr>
      </w:pPr>
      <w:r>
        <w:rPr>
          <w:lang w:val="uk-UA"/>
        </w:rPr>
        <w:t>С</w:t>
      </w:r>
      <w:r w:rsidRPr="00745C53">
        <w:rPr>
          <w:lang w:val="uk-UA"/>
        </w:rPr>
        <w:t xml:space="preserve">КОФ включає </w:t>
      </w:r>
      <w:r>
        <w:rPr>
          <w:lang w:val="uk-UA"/>
        </w:rPr>
        <w:t>класифікаційні позиції,</w:t>
      </w:r>
      <w:r w:rsidRPr="00745C53">
        <w:rPr>
          <w:lang w:val="uk-UA"/>
        </w:rPr>
        <w:t xml:space="preserve"> що відповіда</w:t>
      </w:r>
      <w:r>
        <w:rPr>
          <w:lang w:val="uk-UA"/>
        </w:rPr>
        <w:t>ють</w:t>
      </w:r>
      <w:r w:rsidRPr="00745C53">
        <w:rPr>
          <w:lang w:val="uk-UA"/>
        </w:rPr>
        <w:t xml:space="preserve"> Закону України </w:t>
      </w:r>
      <w:r>
        <w:rPr>
          <w:lang w:val="uk-UA"/>
        </w:rPr>
        <w:t>"</w:t>
      </w:r>
      <w:r w:rsidRPr="00745C53">
        <w:rPr>
          <w:lang w:val="uk-UA"/>
        </w:rPr>
        <w:t>Про підприємства в Україні</w:t>
      </w:r>
      <w:r>
        <w:rPr>
          <w:lang w:val="uk-UA"/>
        </w:rPr>
        <w:t>"</w:t>
      </w:r>
      <w:r w:rsidRPr="00745C53">
        <w:rPr>
          <w:lang w:val="uk-UA"/>
        </w:rPr>
        <w:t>,</w:t>
      </w:r>
      <w:r>
        <w:rPr>
          <w:lang w:val="uk-UA"/>
        </w:rPr>
        <w:t xml:space="preserve"> та деякі інші, </w:t>
      </w:r>
      <w:r w:rsidRPr="00745C53">
        <w:rPr>
          <w:lang w:val="uk-UA"/>
        </w:rPr>
        <w:t>не передбачені чинним законодавством України</w:t>
      </w:r>
      <w:r>
        <w:rPr>
          <w:lang w:val="uk-UA"/>
        </w:rPr>
        <w:t xml:space="preserve">, але </w:t>
      </w:r>
      <w:r w:rsidRPr="00745C53">
        <w:rPr>
          <w:lang w:val="uk-UA"/>
        </w:rPr>
        <w:t xml:space="preserve">за якими здійснювалась державна реєстрація юридичних осіб </w:t>
      </w:r>
      <w:r>
        <w:rPr>
          <w:lang w:val="uk-UA"/>
        </w:rPr>
        <w:t>у</w:t>
      </w:r>
      <w:r w:rsidRPr="00745C53">
        <w:rPr>
          <w:lang w:val="uk-UA"/>
        </w:rPr>
        <w:t xml:space="preserve"> попередні роки. </w:t>
      </w:r>
    </w:p>
    <w:p w:rsidR="00502409" w:rsidRPr="00745C53" w:rsidRDefault="00502409" w:rsidP="009F1CC2">
      <w:pPr>
        <w:spacing w:before="120" w:line="276" w:lineRule="auto"/>
        <w:jc w:val="both"/>
        <w:rPr>
          <w:lang w:val="uk-UA"/>
        </w:rPr>
      </w:pPr>
      <w:r w:rsidRPr="00745C53">
        <w:rPr>
          <w:lang w:val="uk-UA"/>
        </w:rPr>
        <w:t xml:space="preserve">Ведення </w:t>
      </w:r>
      <w:r>
        <w:rPr>
          <w:lang w:val="uk-UA"/>
        </w:rPr>
        <w:t>С</w:t>
      </w:r>
      <w:r w:rsidRPr="00745C53">
        <w:rPr>
          <w:lang w:val="uk-UA"/>
        </w:rPr>
        <w:t xml:space="preserve">КОФ здійснює департамент статистичної </w:t>
      </w:r>
      <w:r>
        <w:rPr>
          <w:lang w:val="uk-UA"/>
        </w:rPr>
        <w:t>інфраструктури</w:t>
      </w:r>
      <w:r w:rsidRPr="00745C53">
        <w:rPr>
          <w:lang w:val="uk-UA"/>
        </w:rPr>
        <w:t xml:space="preserve"> Державної служби статистики України. </w:t>
      </w:r>
    </w:p>
    <w:p w:rsidR="00502409" w:rsidRPr="00745C53" w:rsidRDefault="00502409" w:rsidP="009F1CC2">
      <w:pPr>
        <w:spacing w:before="120" w:line="276" w:lineRule="auto"/>
        <w:jc w:val="both"/>
        <w:rPr>
          <w:lang w:val="uk-UA"/>
        </w:rPr>
      </w:pPr>
      <w:r w:rsidRPr="00745C53">
        <w:rPr>
          <w:lang w:val="uk-UA"/>
        </w:rPr>
        <w:t xml:space="preserve">Підставою для перегляду або внесення змін до </w:t>
      </w:r>
      <w:r>
        <w:rPr>
          <w:lang w:val="uk-UA"/>
        </w:rPr>
        <w:t>С</w:t>
      </w:r>
      <w:r w:rsidRPr="00745C53">
        <w:rPr>
          <w:lang w:val="uk-UA"/>
        </w:rPr>
        <w:t xml:space="preserve">КОФ є </w:t>
      </w:r>
      <w:r>
        <w:rPr>
          <w:lang w:val="uk-UA"/>
        </w:rPr>
        <w:t xml:space="preserve">поява </w:t>
      </w:r>
      <w:r w:rsidRPr="00745C53">
        <w:rPr>
          <w:rFonts w:eastAsia="TimesNewRomanPSMT"/>
          <w:lang w:val="uk-UA"/>
        </w:rPr>
        <w:t xml:space="preserve">встановлених нормами законодавства </w:t>
      </w:r>
      <w:r>
        <w:rPr>
          <w:rFonts w:eastAsia="TimesNewRomanPSMT"/>
          <w:lang w:val="uk-UA"/>
        </w:rPr>
        <w:t xml:space="preserve">нових </w:t>
      </w:r>
      <w:r w:rsidRPr="00745C53">
        <w:rPr>
          <w:rFonts w:eastAsia="TimesNewRomanPSMT"/>
          <w:lang w:val="uk-UA"/>
        </w:rPr>
        <w:t>організаційних елементів</w:t>
      </w:r>
      <w:r>
        <w:rPr>
          <w:rFonts w:eastAsia="TimesNewRomanPSMT"/>
          <w:lang w:val="uk-UA"/>
        </w:rPr>
        <w:t>,</w:t>
      </w:r>
      <w:r w:rsidRPr="00745C53">
        <w:rPr>
          <w:lang w:val="uk-UA"/>
        </w:rPr>
        <w:t xml:space="preserve"> відповідн</w:t>
      </w:r>
      <w:r>
        <w:rPr>
          <w:lang w:val="uk-UA"/>
        </w:rPr>
        <w:t>ої</w:t>
      </w:r>
      <w:r w:rsidRPr="0041179D">
        <w:rPr>
          <w:lang w:val="uk-UA" w:eastAsia="uk-UA"/>
        </w:rPr>
        <w:t xml:space="preserve"> фінансово-економічн</w:t>
      </w:r>
      <w:r>
        <w:rPr>
          <w:lang w:val="uk-UA" w:eastAsia="uk-UA"/>
        </w:rPr>
        <w:t>ої або</w:t>
      </w:r>
      <w:r w:rsidRPr="0041179D">
        <w:rPr>
          <w:lang w:val="uk-UA" w:eastAsia="uk-UA"/>
        </w:rPr>
        <w:t xml:space="preserve"> організаційно-управлінськ</w:t>
      </w:r>
      <w:r>
        <w:rPr>
          <w:lang w:val="uk-UA" w:eastAsia="uk-UA"/>
        </w:rPr>
        <w:t>ої основи у господарських відносинах суб</w:t>
      </w:r>
      <w:r w:rsidRPr="00745C53">
        <w:rPr>
          <w:lang w:val="uk-UA"/>
        </w:rPr>
        <w:t>’</w:t>
      </w:r>
      <w:r>
        <w:rPr>
          <w:lang w:val="uk-UA" w:eastAsia="uk-UA"/>
        </w:rPr>
        <w:t>єктів.</w:t>
      </w:r>
      <w:r w:rsidRPr="00745C53">
        <w:rPr>
          <w:lang w:val="uk-UA"/>
        </w:rPr>
        <w:t xml:space="preserve"> </w:t>
      </w:r>
    </w:p>
    <w:p w:rsidR="00502409" w:rsidRPr="00745C53" w:rsidRDefault="00502409" w:rsidP="009F1CC2">
      <w:pPr>
        <w:spacing w:before="120" w:line="276" w:lineRule="auto"/>
        <w:jc w:val="both"/>
        <w:rPr>
          <w:lang w:val="uk-UA"/>
        </w:rPr>
      </w:pPr>
      <w:r w:rsidRPr="00745C53">
        <w:rPr>
          <w:lang w:val="uk-UA"/>
        </w:rPr>
        <w:t xml:space="preserve">Актуальна версія </w:t>
      </w:r>
      <w:r>
        <w:rPr>
          <w:lang w:val="uk-UA"/>
        </w:rPr>
        <w:t>СКОФ</w:t>
      </w:r>
      <w:r w:rsidRPr="00745C53">
        <w:rPr>
          <w:lang w:val="uk-UA"/>
        </w:rPr>
        <w:t xml:space="preserve"> розміщується на офіційному веб-сайті Державної служби статистики України.</w:t>
      </w:r>
    </w:p>
    <w:p w:rsidR="00537DE5" w:rsidRDefault="00537DE5" w:rsidP="00537DE5">
      <w:pPr>
        <w:rPr>
          <w:lang w:val="uk-UA"/>
        </w:rPr>
      </w:pPr>
      <w:bookmarkStart w:id="2" w:name="_GoBack"/>
      <w:bookmarkEnd w:id="2"/>
    </w:p>
    <w:p w:rsidR="005F169C" w:rsidRPr="00537DE5" w:rsidRDefault="005F169C" w:rsidP="00537DE5">
      <w:pPr>
        <w:jc w:val="right"/>
        <w:rPr>
          <w:lang w:val="uk-UA"/>
        </w:rPr>
      </w:pPr>
    </w:p>
    <w:sectPr w:rsidR="005F169C" w:rsidRPr="00537DE5" w:rsidSect="001148C6">
      <w:pgSz w:w="11906" w:h="16838"/>
      <w:pgMar w:top="1134" w:right="1106" w:bottom="902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0EB" w:rsidRDefault="003240EB">
      <w:r>
        <w:separator/>
      </w:r>
    </w:p>
  </w:endnote>
  <w:endnote w:type="continuationSeparator" w:id="0">
    <w:p w:rsidR="003240EB" w:rsidRDefault="00324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69C" w:rsidRDefault="005F169C" w:rsidP="001A20A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169C" w:rsidRDefault="005F169C" w:rsidP="00AC4ABE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752918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37DE5" w:rsidRPr="00537DE5" w:rsidRDefault="00537DE5">
        <w:pPr>
          <w:pStyle w:val="a3"/>
          <w:jc w:val="right"/>
          <w:rPr>
            <w:sz w:val="20"/>
            <w:szCs w:val="20"/>
          </w:rPr>
        </w:pPr>
        <w:r w:rsidRPr="00537DE5">
          <w:rPr>
            <w:sz w:val="20"/>
            <w:szCs w:val="20"/>
          </w:rPr>
          <w:fldChar w:fldCharType="begin"/>
        </w:r>
        <w:r w:rsidRPr="00537DE5">
          <w:rPr>
            <w:sz w:val="20"/>
            <w:szCs w:val="20"/>
          </w:rPr>
          <w:instrText>PAGE   \* MERGEFORMAT</w:instrText>
        </w:r>
        <w:r w:rsidRPr="00537DE5">
          <w:rPr>
            <w:sz w:val="20"/>
            <w:szCs w:val="20"/>
          </w:rPr>
          <w:fldChar w:fldCharType="separate"/>
        </w:r>
        <w:r w:rsidR="00502409" w:rsidRPr="00502409">
          <w:rPr>
            <w:noProof/>
            <w:sz w:val="20"/>
            <w:szCs w:val="20"/>
            <w:lang w:val="uk-UA"/>
          </w:rPr>
          <w:t>3</w:t>
        </w:r>
        <w:r w:rsidRPr="00537DE5">
          <w:rPr>
            <w:sz w:val="20"/>
            <w:szCs w:val="20"/>
          </w:rPr>
          <w:fldChar w:fldCharType="end"/>
        </w:r>
      </w:p>
    </w:sdtContent>
  </w:sdt>
  <w:p w:rsidR="005F169C" w:rsidRPr="001A20AC" w:rsidRDefault="005F169C" w:rsidP="00AC4ABE">
    <w:pPr>
      <w:pStyle w:val="a3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0EB" w:rsidRDefault="003240EB">
      <w:r>
        <w:separator/>
      </w:r>
    </w:p>
  </w:footnote>
  <w:footnote w:type="continuationSeparator" w:id="0">
    <w:p w:rsidR="003240EB" w:rsidRDefault="003240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69C" w:rsidRPr="00DB1695" w:rsidRDefault="006F72A7" w:rsidP="00DB1695">
    <w:pPr>
      <w:pStyle w:val="a7"/>
      <w:jc w:val="right"/>
      <w:rPr>
        <w:lang w:val="uk-UA"/>
      </w:rPr>
    </w:pPr>
    <w:r>
      <w:rPr>
        <w:lang w:val="uk-UA"/>
      </w:rPr>
      <w:t>С</w:t>
    </w:r>
    <w:r w:rsidR="005F169C">
      <w:rPr>
        <w:lang w:val="uk-UA"/>
      </w:rPr>
      <w:t>КОФ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8B400E"/>
    <w:multiLevelType w:val="hybridMultilevel"/>
    <w:tmpl w:val="87DA39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6371BC"/>
    <w:multiLevelType w:val="hybridMultilevel"/>
    <w:tmpl w:val="148C8BE6"/>
    <w:lvl w:ilvl="0" w:tplc="4B741600">
      <w:start w:val="1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199"/>
    <w:rsid w:val="000033DF"/>
    <w:rsid w:val="000147F9"/>
    <w:rsid w:val="00020885"/>
    <w:rsid w:val="000361F4"/>
    <w:rsid w:val="0005439F"/>
    <w:rsid w:val="0005564E"/>
    <w:rsid w:val="00060C09"/>
    <w:rsid w:val="000661F3"/>
    <w:rsid w:val="000674E6"/>
    <w:rsid w:val="000762E0"/>
    <w:rsid w:val="0008271C"/>
    <w:rsid w:val="000A23D1"/>
    <w:rsid w:val="000D1909"/>
    <w:rsid w:val="000D7724"/>
    <w:rsid w:val="000E281F"/>
    <w:rsid w:val="000E7D09"/>
    <w:rsid w:val="000F6B1D"/>
    <w:rsid w:val="0010299A"/>
    <w:rsid w:val="0011416C"/>
    <w:rsid w:val="001148C6"/>
    <w:rsid w:val="001552E2"/>
    <w:rsid w:val="00167B8B"/>
    <w:rsid w:val="00176571"/>
    <w:rsid w:val="00185660"/>
    <w:rsid w:val="00185AD2"/>
    <w:rsid w:val="00194619"/>
    <w:rsid w:val="00196843"/>
    <w:rsid w:val="001A067C"/>
    <w:rsid w:val="001A20AC"/>
    <w:rsid w:val="001C6831"/>
    <w:rsid w:val="001C76E6"/>
    <w:rsid w:val="001D05EC"/>
    <w:rsid w:val="001D0BF5"/>
    <w:rsid w:val="001E09CE"/>
    <w:rsid w:val="001E3AC9"/>
    <w:rsid w:val="001F1598"/>
    <w:rsid w:val="001F562B"/>
    <w:rsid w:val="002171DA"/>
    <w:rsid w:val="00230A77"/>
    <w:rsid w:val="0023456C"/>
    <w:rsid w:val="00236A4A"/>
    <w:rsid w:val="00236AFB"/>
    <w:rsid w:val="00272FC1"/>
    <w:rsid w:val="00284126"/>
    <w:rsid w:val="00286191"/>
    <w:rsid w:val="002A5FEC"/>
    <w:rsid w:val="002B38C5"/>
    <w:rsid w:val="00302968"/>
    <w:rsid w:val="00306872"/>
    <w:rsid w:val="00307238"/>
    <w:rsid w:val="003240EB"/>
    <w:rsid w:val="003353AB"/>
    <w:rsid w:val="00340410"/>
    <w:rsid w:val="00350A09"/>
    <w:rsid w:val="0035237A"/>
    <w:rsid w:val="003578EE"/>
    <w:rsid w:val="003610B3"/>
    <w:rsid w:val="00364A65"/>
    <w:rsid w:val="0038451A"/>
    <w:rsid w:val="0038632A"/>
    <w:rsid w:val="003917C7"/>
    <w:rsid w:val="0039451D"/>
    <w:rsid w:val="0039465E"/>
    <w:rsid w:val="003973A8"/>
    <w:rsid w:val="003D3359"/>
    <w:rsid w:val="003E7D3E"/>
    <w:rsid w:val="003F29A1"/>
    <w:rsid w:val="00401718"/>
    <w:rsid w:val="004073F2"/>
    <w:rsid w:val="00407987"/>
    <w:rsid w:val="00440997"/>
    <w:rsid w:val="00455A63"/>
    <w:rsid w:val="00491145"/>
    <w:rsid w:val="00491EEB"/>
    <w:rsid w:val="004C1032"/>
    <w:rsid w:val="004C32F5"/>
    <w:rsid w:val="00502409"/>
    <w:rsid w:val="005056C6"/>
    <w:rsid w:val="00517427"/>
    <w:rsid w:val="005174F2"/>
    <w:rsid w:val="00523DE0"/>
    <w:rsid w:val="00524813"/>
    <w:rsid w:val="00537DE5"/>
    <w:rsid w:val="005460DF"/>
    <w:rsid w:val="005534EA"/>
    <w:rsid w:val="00577243"/>
    <w:rsid w:val="005B7EC4"/>
    <w:rsid w:val="005E27D9"/>
    <w:rsid w:val="005F169C"/>
    <w:rsid w:val="00607243"/>
    <w:rsid w:val="006108FC"/>
    <w:rsid w:val="00611187"/>
    <w:rsid w:val="00622D36"/>
    <w:rsid w:val="00625925"/>
    <w:rsid w:val="0063076F"/>
    <w:rsid w:val="006342EA"/>
    <w:rsid w:val="00682071"/>
    <w:rsid w:val="006825B8"/>
    <w:rsid w:val="00685CC4"/>
    <w:rsid w:val="006B1A05"/>
    <w:rsid w:val="006C48A3"/>
    <w:rsid w:val="006D07E4"/>
    <w:rsid w:val="006D4F48"/>
    <w:rsid w:val="006D7D86"/>
    <w:rsid w:val="006F72A7"/>
    <w:rsid w:val="00733A87"/>
    <w:rsid w:val="00736ED5"/>
    <w:rsid w:val="00760E07"/>
    <w:rsid w:val="007661C9"/>
    <w:rsid w:val="0077345A"/>
    <w:rsid w:val="0078501C"/>
    <w:rsid w:val="007B6B40"/>
    <w:rsid w:val="007B6C54"/>
    <w:rsid w:val="007C4E63"/>
    <w:rsid w:val="007C6215"/>
    <w:rsid w:val="007D4534"/>
    <w:rsid w:val="008240F2"/>
    <w:rsid w:val="00827FCF"/>
    <w:rsid w:val="008359E7"/>
    <w:rsid w:val="00866BCB"/>
    <w:rsid w:val="008852BB"/>
    <w:rsid w:val="00887E93"/>
    <w:rsid w:val="0089093F"/>
    <w:rsid w:val="00893B67"/>
    <w:rsid w:val="008A349C"/>
    <w:rsid w:val="008A6079"/>
    <w:rsid w:val="008B3D7C"/>
    <w:rsid w:val="008C0199"/>
    <w:rsid w:val="008C21D4"/>
    <w:rsid w:val="008C3298"/>
    <w:rsid w:val="008C3591"/>
    <w:rsid w:val="008E17D7"/>
    <w:rsid w:val="008E3257"/>
    <w:rsid w:val="008F312E"/>
    <w:rsid w:val="00921352"/>
    <w:rsid w:val="0092497B"/>
    <w:rsid w:val="0092633A"/>
    <w:rsid w:val="009376AB"/>
    <w:rsid w:val="00942190"/>
    <w:rsid w:val="00944D8C"/>
    <w:rsid w:val="00954594"/>
    <w:rsid w:val="00970415"/>
    <w:rsid w:val="00982FF8"/>
    <w:rsid w:val="00983C2E"/>
    <w:rsid w:val="009A200B"/>
    <w:rsid w:val="009A7CB6"/>
    <w:rsid w:val="009C52A6"/>
    <w:rsid w:val="009F4E1F"/>
    <w:rsid w:val="00A03DB4"/>
    <w:rsid w:val="00A1327D"/>
    <w:rsid w:val="00A3159F"/>
    <w:rsid w:val="00A41491"/>
    <w:rsid w:val="00A453AE"/>
    <w:rsid w:val="00A659DA"/>
    <w:rsid w:val="00A6766C"/>
    <w:rsid w:val="00A73C4E"/>
    <w:rsid w:val="00A87908"/>
    <w:rsid w:val="00AA1780"/>
    <w:rsid w:val="00AA46E5"/>
    <w:rsid w:val="00AB6AB4"/>
    <w:rsid w:val="00AC0B83"/>
    <w:rsid w:val="00AC380A"/>
    <w:rsid w:val="00AC4ABE"/>
    <w:rsid w:val="00AD69E2"/>
    <w:rsid w:val="00AE43AC"/>
    <w:rsid w:val="00AF700D"/>
    <w:rsid w:val="00B26F58"/>
    <w:rsid w:val="00B451AC"/>
    <w:rsid w:val="00B51BE1"/>
    <w:rsid w:val="00B52C97"/>
    <w:rsid w:val="00B54F45"/>
    <w:rsid w:val="00B55641"/>
    <w:rsid w:val="00B850E3"/>
    <w:rsid w:val="00B90D21"/>
    <w:rsid w:val="00BA592C"/>
    <w:rsid w:val="00BB128B"/>
    <w:rsid w:val="00BB5A99"/>
    <w:rsid w:val="00BE1DD5"/>
    <w:rsid w:val="00BF65D1"/>
    <w:rsid w:val="00C00681"/>
    <w:rsid w:val="00C016AC"/>
    <w:rsid w:val="00C20408"/>
    <w:rsid w:val="00C5260E"/>
    <w:rsid w:val="00C715C6"/>
    <w:rsid w:val="00CA2B95"/>
    <w:rsid w:val="00CA2C93"/>
    <w:rsid w:val="00CA5852"/>
    <w:rsid w:val="00CB6001"/>
    <w:rsid w:val="00CC5171"/>
    <w:rsid w:val="00CF32A6"/>
    <w:rsid w:val="00D06796"/>
    <w:rsid w:val="00D06BE8"/>
    <w:rsid w:val="00D62BAB"/>
    <w:rsid w:val="00D71A05"/>
    <w:rsid w:val="00D73585"/>
    <w:rsid w:val="00D8182C"/>
    <w:rsid w:val="00DA147F"/>
    <w:rsid w:val="00DB1695"/>
    <w:rsid w:val="00DB3B8D"/>
    <w:rsid w:val="00DB7D62"/>
    <w:rsid w:val="00DD575B"/>
    <w:rsid w:val="00DF06C9"/>
    <w:rsid w:val="00E148BF"/>
    <w:rsid w:val="00E32543"/>
    <w:rsid w:val="00E42286"/>
    <w:rsid w:val="00E610C6"/>
    <w:rsid w:val="00E8082C"/>
    <w:rsid w:val="00E91E04"/>
    <w:rsid w:val="00E94B9E"/>
    <w:rsid w:val="00E95AC4"/>
    <w:rsid w:val="00EA3E80"/>
    <w:rsid w:val="00EB6FEE"/>
    <w:rsid w:val="00EC4941"/>
    <w:rsid w:val="00EC5DF1"/>
    <w:rsid w:val="00ED26C2"/>
    <w:rsid w:val="00EE71ED"/>
    <w:rsid w:val="00F0020C"/>
    <w:rsid w:val="00F016D5"/>
    <w:rsid w:val="00F01C15"/>
    <w:rsid w:val="00F04B2E"/>
    <w:rsid w:val="00F1506C"/>
    <w:rsid w:val="00F15734"/>
    <w:rsid w:val="00F553CA"/>
    <w:rsid w:val="00F67E89"/>
    <w:rsid w:val="00F76D91"/>
    <w:rsid w:val="00F77259"/>
    <w:rsid w:val="00F96980"/>
    <w:rsid w:val="00FA3F1F"/>
    <w:rsid w:val="00FB31B8"/>
    <w:rsid w:val="00FB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3429F8-5793-46F1-8B67-49EFF676E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19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8C01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C01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8C0199"/>
    <w:pPr>
      <w:keepNext/>
      <w:outlineLvl w:val="4"/>
    </w:pPr>
    <w:rPr>
      <w:b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C0199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8C0199"/>
  </w:style>
  <w:style w:type="paragraph" w:styleId="a6">
    <w:name w:val="Body Text"/>
    <w:basedOn w:val="a"/>
    <w:rsid w:val="008C0199"/>
    <w:pPr>
      <w:spacing w:after="120"/>
    </w:pPr>
  </w:style>
  <w:style w:type="paragraph" w:styleId="a7">
    <w:name w:val="header"/>
    <w:basedOn w:val="a"/>
    <w:rsid w:val="008C0199"/>
    <w:pPr>
      <w:tabs>
        <w:tab w:val="center" w:pos="4153"/>
        <w:tab w:val="right" w:pos="8306"/>
      </w:tabs>
    </w:pPr>
  </w:style>
  <w:style w:type="table" w:styleId="a8">
    <w:name w:val="Table Grid"/>
    <w:basedOn w:val="a1"/>
    <w:rsid w:val="004C32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4C32F5"/>
    <w:pPr>
      <w:spacing w:before="100" w:beforeAutospacing="1" w:after="100" w:afterAutospacing="1"/>
    </w:pPr>
  </w:style>
  <w:style w:type="paragraph" w:customStyle="1" w:styleId="aa">
    <w:name w:val="Знак Знак Знак Знак Знак Знак Знак Знак Знак"/>
    <w:basedOn w:val="a"/>
    <w:rsid w:val="00455A63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styleId="ab">
    <w:name w:val="Block Text"/>
    <w:basedOn w:val="a"/>
    <w:rsid w:val="00185AD2"/>
    <w:pPr>
      <w:ind w:left="34" w:right="-107"/>
    </w:pPr>
    <w:rPr>
      <w:rFonts w:ascii="Times New Roman CYR" w:hAnsi="Times New Roman CYR"/>
      <w:sz w:val="20"/>
      <w:szCs w:val="20"/>
      <w:lang w:val="uk-UA"/>
    </w:rPr>
  </w:style>
  <w:style w:type="paragraph" w:styleId="ac">
    <w:name w:val="Title"/>
    <w:basedOn w:val="a"/>
    <w:qFormat/>
    <w:rsid w:val="00185660"/>
    <w:pPr>
      <w:jc w:val="center"/>
    </w:pPr>
    <w:rPr>
      <w:b/>
      <w:sz w:val="32"/>
      <w:szCs w:val="20"/>
      <w:lang w:val="uk-UA"/>
    </w:rPr>
  </w:style>
  <w:style w:type="paragraph" w:styleId="ad">
    <w:name w:val="Plain Text"/>
    <w:basedOn w:val="a"/>
    <w:rsid w:val="000033DF"/>
    <w:rPr>
      <w:rFonts w:ascii="Courier New" w:hAnsi="Courier New" w:cs="Arial Unicode MS"/>
      <w:sz w:val="20"/>
      <w:szCs w:val="20"/>
      <w:lang w:val="uk-UA" w:bidi="my-MM"/>
    </w:rPr>
  </w:style>
  <w:style w:type="paragraph" w:customStyle="1" w:styleId="ae">
    <w:name w:val="Знак Знак Знак"/>
    <w:basedOn w:val="a"/>
    <w:rsid w:val="000033DF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styleId="af">
    <w:name w:val="Balloon Text"/>
    <w:basedOn w:val="a"/>
    <w:link w:val="af0"/>
    <w:rsid w:val="006F72A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link w:val="af"/>
    <w:rsid w:val="006F72A7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Нижній колонтитул Знак"/>
    <w:basedOn w:val="a0"/>
    <w:link w:val="a3"/>
    <w:uiPriority w:val="99"/>
    <w:rsid w:val="00537DE5"/>
    <w:rPr>
      <w:sz w:val="24"/>
      <w:szCs w:val="24"/>
      <w:lang w:val="ru-RU" w:eastAsia="ru-RU"/>
    </w:rPr>
  </w:style>
  <w:style w:type="paragraph" w:styleId="af1">
    <w:name w:val="List Paragraph"/>
    <w:basedOn w:val="a"/>
    <w:uiPriority w:val="34"/>
    <w:qFormat/>
    <w:rsid w:val="00502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– сортування за іменами" Version="2003"/>
</file>

<file path=customXml/itemProps1.xml><?xml version="1.0" encoding="utf-8"?>
<ds:datastoreItem xmlns:ds="http://schemas.openxmlformats.org/officeDocument/2006/customXml" ds:itemID="{226D53DD-BF7C-436D-9371-CF29FDC1F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3997</Words>
  <Characters>2279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НАЦІОНАЛЬНА СТАТИСТИЧНА КЛАСИФІКАЦІЯ</vt:lpstr>
      <vt:lpstr>НАЦІОНАЛЬНА СТАТИСТИЧНА КЛАСИФІКАЦІЯ</vt:lpstr>
    </vt:vector>
  </TitlesOfParts>
  <Company>dcs</Company>
  <LinksUpToDate>false</LinksUpToDate>
  <CharactersWithSpaces>6264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НАЦІОНАЛЬНА СТАТИСТИЧНА КЛАСИФІКАЦІЯ</dc:title>
  <dc:subject/>
  <dc:creator>user</dc:creator>
  <cp:keywords/>
  <cp:lastModifiedBy>A.Varnidis</cp:lastModifiedBy>
  <cp:revision>2</cp:revision>
  <cp:lastPrinted>2014-09-30T12:51:00Z</cp:lastPrinted>
  <dcterms:created xsi:type="dcterms:W3CDTF">2014-10-01T12:40:00Z</dcterms:created>
  <dcterms:modified xsi:type="dcterms:W3CDTF">2014-10-01T12:40:00Z</dcterms:modified>
</cp:coreProperties>
</file>