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D8779C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C142C6"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6A0D9A">
              <w:rPr>
                <w:rFonts w:ascii="Calibri" w:hAnsi="Calibri"/>
                <w:sz w:val="26"/>
                <w:szCs w:val="26"/>
                <w:lang w:val="en-US" w:eastAsia="uk-UA"/>
              </w:rPr>
              <w:t>4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6A0D9A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D8779C">
              <w:rPr>
                <w:rFonts w:ascii="Calibri" w:hAnsi="Calibri"/>
                <w:sz w:val="26"/>
                <w:szCs w:val="26"/>
                <w:lang w:val="en-US" w:eastAsia="uk-UA"/>
              </w:rPr>
              <w:t>173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6A0D9A">
        <w:rPr>
          <w:rFonts w:ascii="Calibri" w:hAnsi="Calibri"/>
          <w:b/>
          <w:bCs/>
          <w:sz w:val="26"/>
          <w:szCs w:val="26"/>
          <w:lang w:val="uk-UA"/>
        </w:rPr>
        <w:t>квітня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6A0D9A" w:rsidRPr="001A2F60">
        <w:rPr>
          <w:rFonts w:ascii="Calibri" w:hAnsi="Calibri"/>
          <w:sz w:val="26"/>
          <w:szCs w:val="26"/>
          <w:lang w:val="uk-UA"/>
        </w:rPr>
        <w:t>квітня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становила </w:t>
      </w:r>
      <w:r w:rsidR="006152FC" w:rsidRPr="001A2F60">
        <w:rPr>
          <w:rFonts w:ascii="Calibri" w:hAnsi="Calibri"/>
          <w:sz w:val="26"/>
          <w:szCs w:val="26"/>
        </w:rPr>
        <w:t>2069</w:t>
      </w:r>
      <w:r w:rsidR="00411C21" w:rsidRPr="001A2F60">
        <w:rPr>
          <w:rFonts w:ascii="Calibri" w:hAnsi="Calibri"/>
          <w:sz w:val="26"/>
          <w:szCs w:val="26"/>
          <w:lang w:val="uk-UA"/>
        </w:rPr>
        <w:t>,</w:t>
      </w:r>
      <w:r w:rsidR="006152FC" w:rsidRPr="001A2F60">
        <w:rPr>
          <w:rFonts w:ascii="Calibri" w:hAnsi="Calibri"/>
          <w:sz w:val="26"/>
          <w:szCs w:val="26"/>
        </w:rPr>
        <w:t>8</w:t>
      </w:r>
      <w:r w:rsidR="00AC69E7" w:rsidRPr="001A2F60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1A2F6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1A2F60">
        <w:rPr>
          <w:rFonts w:ascii="Calibri" w:hAnsi="Calibri"/>
          <w:sz w:val="26"/>
          <w:szCs w:val="26"/>
          <w:lang w:val="uk-UA"/>
        </w:rPr>
        <w:t xml:space="preserve">, з неї </w:t>
      </w:r>
      <w:r w:rsidR="006152FC" w:rsidRPr="001A2F60">
        <w:rPr>
          <w:rFonts w:ascii="Calibri" w:hAnsi="Calibri"/>
          <w:sz w:val="26"/>
          <w:szCs w:val="26"/>
        </w:rPr>
        <w:t>1027</w:t>
      </w:r>
      <w:r w:rsidR="00AC69E7" w:rsidRPr="001A2F60">
        <w:rPr>
          <w:rFonts w:ascii="Calibri" w:hAnsi="Calibri"/>
          <w:sz w:val="26"/>
          <w:szCs w:val="26"/>
          <w:lang w:val="uk-UA"/>
        </w:rPr>
        <w:t>,</w:t>
      </w:r>
      <w:r w:rsidR="006152FC" w:rsidRPr="001A2F60">
        <w:rPr>
          <w:rFonts w:ascii="Calibri" w:hAnsi="Calibri"/>
          <w:sz w:val="26"/>
          <w:szCs w:val="26"/>
        </w:rPr>
        <w:t>7</w:t>
      </w:r>
      <w:r w:rsidR="00AC69E7" w:rsidRPr="001A2F60">
        <w:rPr>
          <w:rFonts w:ascii="Calibri" w:hAnsi="Calibri"/>
          <w:sz w:val="26"/>
          <w:szCs w:val="26"/>
        </w:rPr>
        <w:t> </w:t>
      </w:r>
      <w:proofErr w:type="spellStart"/>
      <w:r w:rsidR="00AC69E7" w:rsidRPr="001A2F60">
        <w:rPr>
          <w:rFonts w:ascii="Calibri" w:hAnsi="Calibri"/>
          <w:sz w:val="26"/>
          <w:szCs w:val="26"/>
        </w:rPr>
        <w:t>млн.грн</w:t>
      </w:r>
      <w:proofErr w:type="spellEnd"/>
      <w:r w:rsidR="00B15458" w:rsidRPr="001A2F60">
        <w:rPr>
          <w:rFonts w:ascii="Calibri" w:hAnsi="Calibri"/>
          <w:sz w:val="26"/>
          <w:szCs w:val="26"/>
        </w:rPr>
        <w:t xml:space="preserve"> </w:t>
      </w:r>
      <w:r w:rsidR="001E325E" w:rsidRPr="001A2F60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6A0D9A">
        <w:rPr>
          <w:rFonts w:ascii="Calibri" w:hAnsi="Calibri"/>
          <w:b/>
          <w:lang w:val="uk-UA"/>
        </w:rPr>
        <w:t>квітня</w:t>
      </w:r>
      <w:r w:rsidR="00E74F54" w:rsidRPr="006152FC">
        <w:rPr>
          <w:rFonts w:ascii="Calibri" w:hAnsi="Calibri"/>
          <w:b/>
        </w:rPr>
        <w:t xml:space="preserve"> 2016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98122F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504" w:dyaOrig="26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41pt" o:ole="">
            <v:imagedata r:id="rId8" o:title=""/>
          </v:shape>
          <o:OLEObject Type="Embed" ProgID="Excel.Sheet.12" ShapeID="_x0000_i1025" DrawAspect="Content" ObjectID="_1554815086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6A0D9A">
        <w:rPr>
          <w:rFonts w:ascii="Calibri" w:hAnsi="Calibri"/>
          <w:sz w:val="26"/>
          <w:szCs w:val="26"/>
          <w:lang w:val="uk-UA"/>
        </w:rPr>
        <w:t>березні</w:t>
      </w:r>
      <w:r w:rsidRPr="00184152">
        <w:rPr>
          <w:rFonts w:ascii="Calibri" w:hAnsi="Calibri"/>
          <w:sz w:val="26"/>
          <w:szCs w:val="26"/>
          <w:lang w:val="uk-UA"/>
        </w:rPr>
        <w:t xml:space="preserve"> 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934127" w:rsidRPr="001A2F60">
        <w:rPr>
          <w:rFonts w:ascii="Calibri" w:hAnsi="Calibri"/>
          <w:sz w:val="26"/>
          <w:szCs w:val="26"/>
          <w:lang w:val="uk-UA"/>
        </w:rPr>
        <w:t>збільшилась</w:t>
      </w:r>
      <w:r w:rsidRPr="001A2F60">
        <w:rPr>
          <w:rFonts w:ascii="Calibri" w:hAnsi="Calibri"/>
          <w:sz w:val="26"/>
          <w:szCs w:val="26"/>
        </w:rPr>
        <w:t xml:space="preserve"> на </w:t>
      </w:r>
      <w:r w:rsidR="00934127" w:rsidRPr="001A2F60">
        <w:rPr>
          <w:rFonts w:ascii="Calibri" w:hAnsi="Calibri"/>
          <w:sz w:val="26"/>
          <w:szCs w:val="26"/>
          <w:lang w:val="uk-UA"/>
        </w:rPr>
        <w:t>8,</w:t>
      </w:r>
      <w:r w:rsidR="006152FC" w:rsidRPr="001A2F60">
        <w:rPr>
          <w:rFonts w:ascii="Calibri" w:hAnsi="Calibri"/>
          <w:sz w:val="26"/>
          <w:szCs w:val="26"/>
        </w:rPr>
        <w:t>5</w:t>
      </w:r>
      <w:r w:rsidR="00AC69E7" w:rsidRPr="001A2F60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2016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98122F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276" w:dyaOrig="3194">
          <v:shape id="_x0000_i1026" type="#_x0000_t75" style="width:495.75pt;height:147.75pt" o:ole="">
            <v:imagedata r:id="rId10" o:title=""/>
          </v:shape>
          <o:OLEObject Type="Embed" ProgID="Excel.Sheet.12" ShapeID="_x0000_i1026" DrawAspect="Content" ObjectID="_1554815087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6A0D9A" w:rsidRPr="001A2F60">
        <w:rPr>
          <w:rFonts w:ascii="Calibri" w:hAnsi="Calibri"/>
          <w:sz w:val="26"/>
          <w:szCs w:val="26"/>
          <w:lang w:val="uk-UA"/>
        </w:rPr>
        <w:t>квітня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1A2F60">
        <w:rPr>
          <w:rFonts w:ascii="Calibri" w:hAnsi="Calibri"/>
          <w:sz w:val="26"/>
          <w:szCs w:val="26"/>
          <w:lang w:val="uk-UA"/>
        </w:rPr>
        <w:t>.</w:t>
      </w:r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основна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частка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суми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r w:rsidR="00AE01ED" w:rsidRPr="001A2F60">
        <w:rPr>
          <w:rFonts w:ascii="Calibri" w:hAnsi="Calibri"/>
          <w:sz w:val="26"/>
          <w:szCs w:val="26"/>
          <w:lang w:val="uk-UA"/>
        </w:rPr>
        <w:t>заборгованості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1A2F60">
        <w:rPr>
          <w:rFonts w:ascii="Calibri" w:hAnsi="Calibri"/>
          <w:sz w:val="26"/>
          <w:szCs w:val="26"/>
        </w:rPr>
        <w:t xml:space="preserve">припадала на </w:t>
      </w:r>
      <w:proofErr w:type="spellStart"/>
      <w:r w:rsidRPr="001A2F60">
        <w:rPr>
          <w:rFonts w:ascii="Calibri" w:hAnsi="Calibri"/>
          <w:sz w:val="26"/>
          <w:szCs w:val="26"/>
        </w:rPr>
        <w:t>промисловість</w:t>
      </w:r>
      <w:proofErr w:type="spellEnd"/>
      <w:r w:rsidRPr="001A2F60">
        <w:rPr>
          <w:rFonts w:ascii="Calibri" w:hAnsi="Calibri"/>
          <w:sz w:val="26"/>
          <w:szCs w:val="26"/>
        </w:rPr>
        <w:t xml:space="preserve"> (</w:t>
      </w:r>
      <w:r w:rsidR="00934127" w:rsidRPr="001A2F60">
        <w:rPr>
          <w:rFonts w:ascii="Calibri" w:hAnsi="Calibri"/>
          <w:sz w:val="26"/>
          <w:szCs w:val="26"/>
          <w:lang w:val="uk-UA"/>
        </w:rPr>
        <w:t>7</w:t>
      </w:r>
      <w:r w:rsidR="006152FC" w:rsidRPr="001A2F60">
        <w:rPr>
          <w:rFonts w:ascii="Calibri" w:hAnsi="Calibri"/>
          <w:sz w:val="26"/>
          <w:szCs w:val="26"/>
        </w:rPr>
        <w:t>5</w:t>
      </w:r>
      <w:r w:rsidR="00934127" w:rsidRPr="001A2F60">
        <w:rPr>
          <w:rFonts w:ascii="Calibri" w:hAnsi="Calibri"/>
          <w:sz w:val="26"/>
          <w:szCs w:val="26"/>
          <w:lang w:val="uk-UA"/>
        </w:rPr>
        <w:t>,</w:t>
      </w:r>
      <w:r w:rsidR="006152FC" w:rsidRPr="001A2F60">
        <w:rPr>
          <w:rFonts w:ascii="Calibri" w:hAnsi="Calibri"/>
          <w:sz w:val="26"/>
          <w:szCs w:val="26"/>
        </w:rPr>
        <w:t>7</w:t>
      </w:r>
      <w:r w:rsidRPr="001A2F60">
        <w:rPr>
          <w:rFonts w:ascii="Calibri" w:hAnsi="Calibri"/>
          <w:sz w:val="26"/>
          <w:szCs w:val="26"/>
        </w:rPr>
        <w:t xml:space="preserve">%), </w:t>
      </w:r>
      <w:r w:rsidR="00D07C5D" w:rsidRPr="001A2F60">
        <w:rPr>
          <w:rFonts w:ascii="Calibri" w:hAnsi="Calibri"/>
          <w:sz w:val="26"/>
          <w:szCs w:val="26"/>
          <w:lang w:val="uk-UA"/>
        </w:rPr>
        <w:t>професійну, наукову та технічну діяльність</w:t>
      </w:r>
      <w:r w:rsidRPr="001A2F60">
        <w:rPr>
          <w:rFonts w:ascii="Calibri" w:hAnsi="Calibri"/>
          <w:sz w:val="26"/>
          <w:szCs w:val="26"/>
        </w:rPr>
        <w:t xml:space="preserve"> (</w:t>
      </w:r>
      <w:r w:rsidR="006152FC" w:rsidRPr="001A2F60">
        <w:rPr>
          <w:rFonts w:ascii="Calibri" w:hAnsi="Calibri"/>
          <w:sz w:val="26"/>
          <w:szCs w:val="26"/>
        </w:rPr>
        <w:t>8</w:t>
      </w:r>
      <w:r w:rsidR="00D07C5D" w:rsidRPr="001A2F60">
        <w:rPr>
          <w:rFonts w:ascii="Calibri" w:hAnsi="Calibri"/>
          <w:sz w:val="26"/>
          <w:szCs w:val="26"/>
          <w:lang w:val="uk-UA"/>
        </w:rPr>
        <w:t>,</w:t>
      </w:r>
      <w:r w:rsidR="006152FC" w:rsidRPr="001A2F60">
        <w:rPr>
          <w:rFonts w:ascii="Calibri" w:hAnsi="Calibri"/>
          <w:sz w:val="26"/>
          <w:szCs w:val="26"/>
        </w:rPr>
        <w:t>3</w:t>
      </w:r>
      <w:r w:rsidRPr="001A2F60">
        <w:rPr>
          <w:rFonts w:ascii="Calibri" w:hAnsi="Calibri"/>
          <w:sz w:val="26"/>
          <w:szCs w:val="26"/>
        </w:rPr>
        <w:t xml:space="preserve">%). При </w:t>
      </w:r>
      <w:proofErr w:type="spellStart"/>
      <w:r w:rsidRPr="001A2F60">
        <w:rPr>
          <w:rFonts w:ascii="Calibri" w:hAnsi="Calibri"/>
          <w:sz w:val="26"/>
          <w:szCs w:val="26"/>
        </w:rPr>
        <w:t>цьому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r w:rsidR="006152FC" w:rsidRPr="001A2F60">
        <w:rPr>
          <w:rFonts w:ascii="Calibri" w:hAnsi="Calibri"/>
          <w:sz w:val="26"/>
          <w:szCs w:val="26"/>
          <w:lang w:val="uk-UA"/>
        </w:rPr>
        <w:t xml:space="preserve">майже </w:t>
      </w:r>
      <w:r w:rsidR="001A626E" w:rsidRPr="001A2F60">
        <w:rPr>
          <w:rFonts w:ascii="Calibri" w:hAnsi="Calibri"/>
          <w:sz w:val="26"/>
          <w:szCs w:val="26"/>
          <w:lang w:val="uk-UA"/>
        </w:rPr>
        <w:t>половин</w:t>
      </w:r>
      <w:r w:rsidR="0077703F" w:rsidRPr="001A2F60">
        <w:rPr>
          <w:rFonts w:ascii="Calibri" w:hAnsi="Calibri"/>
          <w:sz w:val="26"/>
          <w:szCs w:val="26"/>
          <w:lang w:val="uk-UA"/>
        </w:rPr>
        <w:t>а</w:t>
      </w:r>
      <w:r w:rsidRPr="001A2F60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1A2F60">
        <w:rPr>
          <w:rFonts w:ascii="Calibri" w:hAnsi="Calibri"/>
          <w:sz w:val="26"/>
          <w:szCs w:val="26"/>
        </w:rPr>
        <w:t>утворен</w:t>
      </w:r>
      <w:proofErr w:type="spellEnd"/>
      <w:r w:rsidR="0077703F" w:rsidRPr="001A2F60">
        <w:rPr>
          <w:rFonts w:ascii="Calibri" w:hAnsi="Calibri"/>
          <w:sz w:val="26"/>
          <w:szCs w:val="26"/>
          <w:lang w:val="uk-UA"/>
        </w:rPr>
        <w:t>а</w:t>
      </w:r>
      <w:r w:rsidRPr="001A2F60">
        <w:rPr>
          <w:rFonts w:ascii="Calibri" w:hAnsi="Calibri"/>
          <w:sz w:val="26"/>
          <w:szCs w:val="26"/>
        </w:rPr>
        <w:t xml:space="preserve"> в </w:t>
      </w:r>
      <w:proofErr w:type="spellStart"/>
      <w:r w:rsidR="00D07C5D" w:rsidRPr="001A2F60">
        <w:rPr>
          <w:rFonts w:ascii="Calibri" w:hAnsi="Calibri"/>
          <w:sz w:val="26"/>
          <w:szCs w:val="26"/>
        </w:rPr>
        <w:t>Донецькій</w:t>
      </w:r>
      <w:proofErr w:type="spellEnd"/>
      <w:r w:rsidR="00D07C5D" w:rsidRPr="001A2F60">
        <w:rPr>
          <w:rFonts w:ascii="Calibri" w:hAnsi="Calibri"/>
          <w:sz w:val="26"/>
          <w:szCs w:val="26"/>
        </w:rPr>
        <w:t xml:space="preserve"> (</w:t>
      </w:r>
      <w:r w:rsidR="00B07909" w:rsidRPr="001A2F60">
        <w:rPr>
          <w:rFonts w:ascii="Calibri" w:hAnsi="Calibri"/>
          <w:sz w:val="26"/>
          <w:szCs w:val="26"/>
          <w:lang w:val="uk-UA"/>
        </w:rPr>
        <w:t>27,</w:t>
      </w:r>
      <w:r w:rsidR="006152FC" w:rsidRPr="001A2F60">
        <w:rPr>
          <w:rFonts w:ascii="Calibri" w:hAnsi="Calibri"/>
          <w:sz w:val="26"/>
          <w:szCs w:val="26"/>
        </w:rPr>
        <w:t>7</w:t>
      </w:r>
      <w:r w:rsidR="00D07C5D" w:rsidRPr="001A2F60">
        <w:rPr>
          <w:rFonts w:ascii="Calibri" w:hAnsi="Calibri"/>
          <w:sz w:val="26"/>
          <w:szCs w:val="26"/>
        </w:rPr>
        <w:t>%)</w:t>
      </w:r>
      <w:r w:rsidR="0077703F" w:rsidRPr="001A2F60">
        <w:rPr>
          <w:rFonts w:ascii="Calibri" w:hAnsi="Calibri"/>
          <w:sz w:val="26"/>
          <w:szCs w:val="26"/>
          <w:lang w:val="uk-UA"/>
        </w:rPr>
        <w:t xml:space="preserve"> та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B07909" w:rsidRPr="001A2F60">
        <w:rPr>
          <w:rFonts w:ascii="Calibri" w:hAnsi="Calibri"/>
          <w:sz w:val="26"/>
          <w:szCs w:val="26"/>
        </w:rPr>
        <w:t>Луганській</w:t>
      </w:r>
      <w:proofErr w:type="spellEnd"/>
      <w:r w:rsidR="00B07909" w:rsidRPr="001A2F60">
        <w:rPr>
          <w:rFonts w:ascii="Calibri" w:hAnsi="Calibri"/>
          <w:sz w:val="26"/>
          <w:szCs w:val="26"/>
        </w:rPr>
        <w:t xml:space="preserve"> </w:t>
      </w:r>
      <w:r w:rsidR="00B07909" w:rsidRPr="001A2F60">
        <w:rPr>
          <w:rFonts w:ascii="Calibri" w:hAnsi="Calibri"/>
          <w:sz w:val="26"/>
          <w:szCs w:val="26"/>
          <w:lang w:val="uk-UA"/>
        </w:rPr>
        <w:t>(1</w:t>
      </w:r>
      <w:r w:rsidR="006152FC" w:rsidRPr="001A2F60">
        <w:rPr>
          <w:rFonts w:ascii="Calibri" w:hAnsi="Calibri"/>
          <w:sz w:val="26"/>
          <w:szCs w:val="26"/>
        </w:rPr>
        <w:t>7</w:t>
      </w:r>
      <w:r w:rsidR="00B07909" w:rsidRPr="001A2F60">
        <w:rPr>
          <w:rFonts w:ascii="Calibri" w:hAnsi="Calibri"/>
          <w:sz w:val="26"/>
          <w:szCs w:val="26"/>
          <w:lang w:val="uk-UA"/>
        </w:rPr>
        <w:t>,</w:t>
      </w:r>
      <w:r w:rsidR="006152FC" w:rsidRPr="001A2F60">
        <w:rPr>
          <w:rFonts w:ascii="Calibri" w:hAnsi="Calibri"/>
          <w:sz w:val="26"/>
          <w:szCs w:val="26"/>
        </w:rPr>
        <w:t>1</w:t>
      </w:r>
      <w:r w:rsidR="00B07909" w:rsidRPr="001A2F60">
        <w:rPr>
          <w:rFonts w:ascii="Calibri" w:hAnsi="Calibri"/>
          <w:sz w:val="26"/>
          <w:szCs w:val="26"/>
          <w:lang w:val="uk-UA"/>
        </w:rPr>
        <w:t>%)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 </w:t>
      </w:r>
      <w:r w:rsidR="00EE75FD" w:rsidRPr="001A2F60">
        <w:rPr>
          <w:rFonts w:ascii="Calibri" w:hAnsi="Calibri"/>
          <w:sz w:val="26"/>
          <w:szCs w:val="26"/>
        </w:rPr>
        <w:t>областях</w:t>
      </w:r>
      <w:r w:rsidR="003F62C0" w:rsidRPr="001A2F60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формі 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юридичні особи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  <w:bookmarkStart w:id="2" w:name="_GoBack"/>
      <w:bookmarkEnd w:id="2"/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6152FC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A7633B">
      <w:pPr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B0738E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B0738E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B0738E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BF7AEA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2069813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103,7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1027660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108,5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94315E" w:rsidRDefault="00BF7AEA" w:rsidP="000677A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91</w:t>
            </w: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</w:t>
            </w:r>
          </w:p>
        </w:tc>
      </w:tr>
      <w:tr w:rsidR="00BF7AEA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19247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6952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163,3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12314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3116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146,9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BF7AEA" w:rsidRPr="00A23516" w:rsidRDefault="00BF7AEA" w:rsidP="00BF7AEA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1543482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778221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94315E" w:rsidRDefault="00BF7AEA" w:rsidP="000677A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  <w:r w:rsidRPr="0094315E"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79256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54022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</w:tr>
      <w:tr w:rsidR="00BF7AEA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26587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135,1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135,1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14589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184,9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192,7</w:t>
            </w:r>
          </w:p>
        </w:tc>
      </w:tr>
      <w:tr w:rsidR="00BF7AEA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188832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28239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112,9</w:t>
            </w:r>
          </w:p>
        </w:tc>
      </w:tr>
      <w:tr w:rsidR="00BF7AEA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2350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752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125,8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3441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120,1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2842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113,7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15586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13201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50676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347,8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15576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169,7</w:t>
            </w:r>
          </w:p>
        </w:tc>
      </w:tr>
      <w:tr w:rsidR="00BF7AEA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104706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85015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80,8</w:t>
            </w:r>
          </w:p>
        </w:tc>
      </w:tr>
      <w:tr w:rsidR="00BF7AEA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7633B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34745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85,2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25694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54,6</w:t>
            </w:r>
          </w:p>
        </w:tc>
      </w:tr>
      <w:tr w:rsidR="00BF7AEA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8783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129,7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7100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124,3</w:t>
            </w:r>
          </w:p>
        </w:tc>
      </w:tr>
      <w:tr w:rsidR="00BF7AEA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95EAF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4124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2935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114,0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6357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91,4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5203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114,0</w:t>
            </w:r>
          </w:p>
        </w:tc>
      </w:tr>
      <w:tr w:rsidR="00BF7AEA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95EAF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10452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120,7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9926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137,6</w:t>
            </w:r>
          </w:p>
        </w:tc>
      </w:tr>
      <w:tr w:rsidR="00BF7AEA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10452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120,7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144,9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9926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137,6</w:t>
            </w:r>
          </w:p>
        </w:tc>
      </w:tr>
      <w:tr w:rsidR="00BF7AEA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4841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129,0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2152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202,3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57,8</w:t>
            </w:r>
          </w:p>
        </w:tc>
      </w:tr>
      <w:tr w:rsidR="00BF7AEA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F7AEA" w:rsidRPr="00A23516" w:rsidRDefault="00BF7AEA" w:rsidP="00BF7AE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CB560A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B560A" w:rsidRPr="00A23516" w:rsidRDefault="00CB560A" w:rsidP="00CB560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1372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733,7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ind w:left="-108"/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1653,0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1362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769,5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1865,8</w:t>
            </w:r>
          </w:p>
        </w:tc>
      </w:tr>
      <w:tr w:rsidR="00CB560A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B560A" w:rsidRPr="00A23516" w:rsidRDefault="00CB560A" w:rsidP="00CB560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CB560A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CB560A" w:rsidRPr="00A23516" w:rsidRDefault="00CB560A" w:rsidP="00CB560A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158,9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935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176,4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131,5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B0738E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B0738E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B0738E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BF7AEA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A23516" w:rsidRDefault="00BF7AEA" w:rsidP="00BF7AEA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1543482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116,9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778221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109,4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7C1272" w:rsidRDefault="00BF7AEA" w:rsidP="000677A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</w:t>
            </w:r>
            <w:r w:rsidR="00CB560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</w:t>
            </w:r>
            <w:r w:rsidRPr="007C1272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,</w:t>
            </w:r>
            <w:r w:rsidR="00CB560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</w:t>
            </w:r>
          </w:p>
        </w:tc>
      </w:tr>
      <w:tr w:rsidR="00BF7AEA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A23516" w:rsidRDefault="00BF7AEA" w:rsidP="00BF7AEA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418595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67812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0677A1" w:rsidRDefault="00BF7AE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 w:rsidR="00CB560A"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9</w:t>
            </w:r>
            <w:r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 w:rsidR="00CB560A"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  <w:r w:rsidRPr="000677A1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BF7AEA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A23516" w:rsidRDefault="00BF7AEA" w:rsidP="00BF7AEA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A23516" w:rsidRDefault="00BF7AEA" w:rsidP="00BF7AE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387720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65144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F7AEA" w:rsidRPr="00BF7AEA" w:rsidRDefault="00BF7AEA" w:rsidP="00BF7AE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7AEA" w:rsidRPr="000677A1" w:rsidRDefault="00BF7AE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 w:rsidR="00CB560A"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9</w:t>
            </w:r>
            <w:r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 w:rsidR="00CB560A" w:rsidRPr="000677A1">
              <w:rPr>
                <w:rFonts w:ascii="Calibri" w:hAnsi="Calibri" w:cs="Times New Roman CYR"/>
                <w:sz w:val="21"/>
                <w:szCs w:val="21"/>
                <w:lang w:val="uk-UA"/>
              </w:rPr>
              <w:t>0</w:t>
            </w:r>
            <w:r w:rsidRPr="000677A1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CB560A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989219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120,3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581333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67971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136,9</w:t>
            </w:r>
          </w:p>
        </w:tc>
      </w:tr>
      <w:tr w:rsidR="00CB560A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7633B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35421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90,3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7197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82,8</w:t>
            </w:r>
          </w:p>
        </w:tc>
      </w:tr>
      <w:tr w:rsidR="00CB560A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B4612F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6471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194,3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162,4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CB560A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B4612F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31685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2413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75,3</w:t>
            </w:r>
          </w:p>
        </w:tc>
      </w:tr>
      <w:tr w:rsidR="00CB560A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31407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437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112,1</w:t>
            </w:r>
          </w:p>
        </w:tc>
      </w:tr>
      <w:tr w:rsidR="00CB560A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108996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516,4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82598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266,6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2920,7</w:t>
            </w:r>
          </w:p>
        </w:tc>
      </w:tr>
      <w:tr w:rsidR="00CB560A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CB560A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23968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3381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134,9</w:t>
            </w:r>
          </w:p>
        </w:tc>
      </w:tr>
      <w:tr w:rsidR="00CB560A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134923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247,1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70160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505,6</w:t>
            </w:r>
          </w:p>
        </w:tc>
      </w:tr>
      <w:tr w:rsidR="00CB560A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12833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29,6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5765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129,4</w:t>
            </w:r>
          </w:p>
        </w:tc>
      </w:tr>
      <w:tr w:rsidR="00CB560A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29667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192,5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24059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222,2</w:t>
            </w:r>
          </w:p>
        </w:tc>
      </w:tr>
      <w:tr w:rsidR="00CB560A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110044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88,1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71520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73,4</w:t>
            </w:r>
          </w:p>
        </w:tc>
      </w:tr>
      <w:tr w:rsidR="00CB560A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0B6BEC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394121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257262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113,4</w:t>
            </w:r>
          </w:p>
        </w:tc>
      </w:tr>
      <w:tr w:rsidR="00CB560A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CB560A" w:rsidRPr="00A23516" w:rsidRDefault="00CB560A" w:rsidP="00CB560A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69540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56390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</w:tr>
      <w:tr w:rsidR="00CB560A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91017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88577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77,4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106,9</w:t>
            </w:r>
          </w:p>
        </w:tc>
      </w:tr>
      <w:tr w:rsidR="00CB560A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A23516" w:rsidRDefault="00CB560A" w:rsidP="00CB560A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560A" w:rsidRPr="00A23516" w:rsidRDefault="00CB560A" w:rsidP="00CB560A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44651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151,7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40499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CB560A" w:rsidRPr="00BF7AE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60A" w:rsidRPr="00CB560A" w:rsidRDefault="00CB560A" w:rsidP="00CB560A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B560A">
              <w:rPr>
                <w:rFonts w:ascii="Calibri" w:hAnsi="Calibri" w:cs="Times New Roman CYR"/>
                <w:sz w:val="21"/>
                <w:szCs w:val="21"/>
                <w:lang w:val="uk-UA"/>
              </w:rPr>
              <w:t>161,0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0677A1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0677A1">
        <w:rPr>
          <w:rFonts w:ascii="Calibri" w:hAnsi="Calibri" w:cs="Times New Roman CYR"/>
          <w:sz w:val="21"/>
          <w:szCs w:val="21"/>
          <w:lang w:val="uk-UA"/>
        </w:rPr>
        <w:t xml:space="preserve"> Тут і в наступній таблиці суттєве зниження показника пояснюєт</w:t>
      </w:r>
      <w:r w:rsidR="00383C81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0677A1">
        <w:rPr>
          <w:rFonts w:ascii="Calibri" w:hAnsi="Calibri" w:cs="Times New Roman CYR"/>
          <w:sz w:val="21"/>
          <w:szCs w:val="21"/>
          <w:lang w:val="uk-UA"/>
        </w:rPr>
        <w:t>р</w:t>
      </w:r>
      <w:r w:rsidR="00383C81">
        <w:rPr>
          <w:rFonts w:ascii="Calibri" w:hAnsi="Calibri" w:cs="Times New Roman CYR"/>
          <w:sz w:val="21"/>
          <w:szCs w:val="21"/>
          <w:lang w:val="uk-UA"/>
        </w:rPr>
        <w:t>.</w:t>
      </w:r>
      <w:r w:rsidRPr="000677A1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 "</w:t>
      </w:r>
      <w:proofErr w:type="spellStart"/>
      <w:r w:rsidRPr="000677A1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0677A1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0677A1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0677A1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B0738E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A7633B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D66676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B0738E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березня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B0738E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березня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F7AEA" w:rsidRDefault="00B67971" w:rsidP="00B6797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2069813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F7AEA" w:rsidRDefault="00B67971" w:rsidP="00B6797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F7AEA" w:rsidRDefault="00B67971" w:rsidP="00B6797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115,6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F7AEA" w:rsidRDefault="00B67971" w:rsidP="00B6797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1027660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B67971" w:rsidRPr="00BF7AEA" w:rsidRDefault="00B67971" w:rsidP="00B6797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F7AEA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108,5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7971" w:rsidRPr="0094315E" w:rsidRDefault="00B67971" w:rsidP="000677A1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91</w:t>
            </w:r>
            <w:r w:rsidRPr="0094315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12407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2188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109,7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12695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188,9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286,1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10735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235,1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457,4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152580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72435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323643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110,8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284265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124,5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4481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81,4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937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3375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111,8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2849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65781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80,7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52366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76,8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8097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152,1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147,0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134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51,7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122613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5422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98,3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126,2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14572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46,9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48,8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6006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87,0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94,1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518202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175911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7971" w:rsidRPr="0060799B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43</w:t>
            </w:r>
            <w:r w:rsidRPr="0060799B"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6</w:t>
            </w:r>
            <w:r w:rsidRPr="000677A1">
              <w:rPr>
                <w:rFonts w:ascii="Calibri" w:hAnsi="Calibri" w:cs="Times New Roman CYR"/>
                <w:b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94884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15931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35,2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92282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68007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110,8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49943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10525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125,0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23759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92,6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6863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78,2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67,1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33797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151,2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631,7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31560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157,4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1061,6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105464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72649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97,8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3921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65,3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3379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89,6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70,0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236271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90,8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70991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74,7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107,2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9479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5588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125,0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6605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206,5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343,3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924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803,5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71886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205,0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342,1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54058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319,9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1788,8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3181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167,4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167,9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3148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168,4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168,5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11667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7252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96,1</w:t>
            </w:r>
          </w:p>
        </w:tc>
      </w:tr>
      <w:tr w:rsidR="00B67971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566F7B" w:rsidRDefault="00B67971" w:rsidP="00B67971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88228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115,3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63537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7971" w:rsidRPr="00B67971" w:rsidRDefault="00B67971" w:rsidP="00B67971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67971">
              <w:rPr>
                <w:rFonts w:ascii="Calibri" w:hAnsi="Calibri" w:cs="Times New Roman CYR"/>
                <w:sz w:val="21"/>
                <w:szCs w:val="21"/>
                <w:lang w:val="uk-UA"/>
              </w:rPr>
              <w:t>106,9</w:t>
            </w:r>
          </w:p>
        </w:tc>
      </w:tr>
    </w:tbl>
    <w:p w:rsidR="00A7633B" w:rsidRPr="00433A3B" w:rsidRDefault="00A7633B" w:rsidP="00A7633B">
      <w:pPr>
        <w:jc w:val="both"/>
        <w:rPr>
          <w:rFonts w:ascii="Calibri" w:hAnsi="Calibri"/>
          <w:b/>
          <w:sz w:val="8"/>
          <w:szCs w:val="8"/>
          <w:lang w:val="uk-UA"/>
        </w:rPr>
      </w:pPr>
    </w:p>
    <w:p w:rsidR="00A67D07" w:rsidRPr="001936D1" w:rsidRDefault="00A67D07" w:rsidP="001C6F0D">
      <w:pPr>
        <w:ind w:right="-285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93" w:rsidRDefault="00AB1F93">
      <w:r>
        <w:separator/>
      </w:r>
    </w:p>
  </w:endnote>
  <w:endnote w:type="continuationSeparator" w:id="0">
    <w:p w:rsidR="00AB1F93" w:rsidRDefault="00AB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E0" w:rsidRPr="00A23516" w:rsidRDefault="00B01DE0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D8779C" w:rsidRPr="00D8779C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B01DE0" w:rsidRDefault="00B01D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93" w:rsidRDefault="00AB1F93">
      <w:r>
        <w:separator/>
      </w:r>
    </w:p>
  </w:footnote>
  <w:footnote w:type="continuationSeparator" w:id="0">
    <w:p w:rsidR="00AB1F93" w:rsidRDefault="00AB1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E0" w:rsidRDefault="00B01DE0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1DE0" w:rsidRDefault="00B01D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3C81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447"/>
    <w:rsid w:val="00775BC8"/>
    <w:rsid w:val="00776913"/>
    <w:rsid w:val="00776F85"/>
    <w:rsid w:val="0077703F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20FE"/>
    <w:rsid w:val="0094315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14F2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D22"/>
    <w:rsid w:val="00B33F3D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2429"/>
    <w:rsid w:val="00B86CCC"/>
    <w:rsid w:val="00B878DE"/>
    <w:rsid w:val="00B9350C"/>
    <w:rsid w:val="00B943C6"/>
    <w:rsid w:val="00B951F3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6B17"/>
    <w:rsid w:val="00C906DE"/>
    <w:rsid w:val="00C957B8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497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F037D2"/>
    <w:rsid w:val="00F03B97"/>
    <w:rsid w:val="00F05721"/>
    <w:rsid w:val="00F06002"/>
    <w:rsid w:val="00F10CC1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BC9ED-D90B-4582-B6DD-88D4DB1E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5924</Words>
  <Characters>3377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9283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10</cp:revision>
  <cp:lastPrinted>2017-04-26T12:47:00Z</cp:lastPrinted>
  <dcterms:created xsi:type="dcterms:W3CDTF">2017-04-26T08:02:00Z</dcterms:created>
  <dcterms:modified xsi:type="dcterms:W3CDTF">2017-04-27T13:18:00Z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