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E35" w:rsidRPr="006236BC" w:rsidRDefault="001A0E35" w:rsidP="006236BC">
      <w:pPr>
        <w:pStyle w:val="a6"/>
        <w:ind w:right="0" w:firstLine="720"/>
        <w:jc w:val="left"/>
        <w:rPr>
          <w:rFonts w:ascii="Times New Roman" w:hAnsi="Times New Roman"/>
          <w:i w:val="0"/>
          <w:sz w:val="24"/>
          <w:szCs w:val="24"/>
        </w:rPr>
      </w:pPr>
      <w:r w:rsidRPr="006236BC">
        <w:rPr>
          <w:rFonts w:ascii="Times New Roman" w:hAnsi="Times New Roman"/>
          <w:i w:val="0"/>
          <w:sz w:val="24"/>
          <w:szCs w:val="24"/>
        </w:rPr>
        <w:t>ПЕРЕДМОВА</w:t>
      </w:r>
    </w:p>
    <w:p w:rsidR="00135AE6" w:rsidRPr="00DB3325" w:rsidRDefault="00135AE6" w:rsidP="00B72DB9">
      <w:pPr>
        <w:pStyle w:val="a7"/>
        <w:spacing w:line="228" w:lineRule="auto"/>
        <w:rPr>
          <w:rFonts w:ascii="Times New Roman" w:hAnsi="Times New Roman"/>
          <w:sz w:val="16"/>
          <w:szCs w:val="24"/>
        </w:rPr>
      </w:pPr>
    </w:p>
    <w:p w:rsidR="00582B7F" w:rsidRPr="006236BC" w:rsidRDefault="00582B7F" w:rsidP="00B72DB9">
      <w:pPr>
        <w:pStyle w:val="a7"/>
        <w:spacing w:line="228" w:lineRule="auto"/>
        <w:rPr>
          <w:rFonts w:ascii="Times New Roman" w:hAnsi="Times New Roman"/>
          <w:sz w:val="22"/>
          <w:szCs w:val="22"/>
        </w:rPr>
      </w:pPr>
      <w:r w:rsidRPr="006236BC">
        <w:rPr>
          <w:rFonts w:ascii="Times New Roman" w:hAnsi="Times New Roman"/>
          <w:sz w:val="22"/>
          <w:szCs w:val="22"/>
        </w:rPr>
        <w:t xml:space="preserve">Статистичний збірник </w:t>
      </w:r>
      <w:r w:rsidR="003B4B3B" w:rsidRPr="006236BC">
        <w:rPr>
          <w:rFonts w:ascii="Times New Roman" w:hAnsi="Times New Roman"/>
          <w:sz w:val="22"/>
          <w:szCs w:val="22"/>
        </w:rPr>
        <w:t>"</w:t>
      </w:r>
      <w:r w:rsidRPr="006236BC">
        <w:rPr>
          <w:rFonts w:ascii="Times New Roman" w:hAnsi="Times New Roman"/>
          <w:sz w:val="22"/>
          <w:szCs w:val="22"/>
        </w:rPr>
        <w:t>Наукова та інноваційна діяльність Україн</w:t>
      </w:r>
      <w:r w:rsidR="0006278B" w:rsidRPr="006236BC">
        <w:rPr>
          <w:rFonts w:ascii="Times New Roman" w:hAnsi="Times New Roman"/>
          <w:sz w:val="22"/>
          <w:szCs w:val="22"/>
        </w:rPr>
        <w:t>и</w:t>
      </w:r>
      <w:r w:rsidR="003B4B3B" w:rsidRPr="006236BC">
        <w:rPr>
          <w:rFonts w:ascii="Times New Roman" w:hAnsi="Times New Roman"/>
          <w:sz w:val="22"/>
          <w:szCs w:val="22"/>
        </w:rPr>
        <w:t>"</w:t>
      </w:r>
      <w:r w:rsidRPr="006236BC">
        <w:rPr>
          <w:rFonts w:ascii="Times New Roman" w:hAnsi="Times New Roman"/>
          <w:sz w:val="22"/>
          <w:szCs w:val="22"/>
        </w:rPr>
        <w:t xml:space="preserve"> містить основні статистичні дані, що характеризують науковий потенціал, результати роботи наукових організацій, стан інноваційної </w:t>
      </w:r>
      <w:r w:rsidR="00BD0D6B" w:rsidRPr="006236BC">
        <w:rPr>
          <w:rFonts w:ascii="Times New Roman" w:hAnsi="Times New Roman"/>
          <w:sz w:val="22"/>
          <w:szCs w:val="22"/>
        </w:rPr>
        <w:t xml:space="preserve">діяльності, </w:t>
      </w:r>
      <w:r w:rsidR="00EF5B7D" w:rsidRPr="006236BC">
        <w:rPr>
          <w:rFonts w:ascii="Times New Roman" w:hAnsi="Times New Roman"/>
          <w:sz w:val="22"/>
          <w:szCs w:val="22"/>
        </w:rPr>
        <w:t xml:space="preserve">а також </w:t>
      </w:r>
      <w:r w:rsidR="00135AE6" w:rsidRPr="006236BC">
        <w:rPr>
          <w:rFonts w:ascii="Times New Roman" w:hAnsi="Times New Roman"/>
          <w:sz w:val="22"/>
          <w:szCs w:val="22"/>
        </w:rPr>
        <w:t>аналіз основних показників у сфері охорони промислової власності</w:t>
      </w:r>
      <w:r w:rsidRPr="006236BC">
        <w:rPr>
          <w:rFonts w:ascii="Times New Roman" w:hAnsi="Times New Roman"/>
          <w:sz w:val="22"/>
          <w:szCs w:val="22"/>
        </w:rPr>
        <w:t>.</w:t>
      </w:r>
    </w:p>
    <w:p w:rsidR="00582B7F" w:rsidRPr="006236BC" w:rsidRDefault="00582B7F" w:rsidP="00B72DB9">
      <w:pPr>
        <w:spacing w:line="228" w:lineRule="auto"/>
        <w:ind w:firstLine="720"/>
        <w:jc w:val="both"/>
        <w:rPr>
          <w:sz w:val="22"/>
          <w:szCs w:val="22"/>
        </w:rPr>
      </w:pPr>
      <w:r w:rsidRPr="006236BC">
        <w:rPr>
          <w:sz w:val="22"/>
          <w:szCs w:val="22"/>
        </w:rPr>
        <w:t xml:space="preserve">У збірнику наведені статистичні дані про структуру наукових організацій, чисельність та характеристику наукового потенціалу, обсяги фінансування наукових досліджень </w:t>
      </w:r>
      <w:r w:rsidR="00045507" w:rsidRPr="006236BC">
        <w:rPr>
          <w:sz w:val="22"/>
          <w:szCs w:val="22"/>
        </w:rPr>
        <w:t>і</w:t>
      </w:r>
      <w:r w:rsidRPr="006236BC">
        <w:rPr>
          <w:sz w:val="22"/>
          <w:szCs w:val="22"/>
        </w:rPr>
        <w:t xml:space="preserve"> розробок, інноваційну активність підприємств, витрати на інноваційну діяльність та джерела </w:t>
      </w:r>
      <w:r w:rsidR="00BD0D6B" w:rsidRPr="006236BC">
        <w:rPr>
          <w:sz w:val="22"/>
          <w:szCs w:val="22"/>
        </w:rPr>
        <w:t xml:space="preserve">їх </w:t>
      </w:r>
      <w:r w:rsidRPr="006236BC">
        <w:rPr>
          <w:sz w:val="22"/>
          <w:szCs w:val="22"/>
        </w:rPr>
        <w:t>фінансування</w:t>
      </w:r>
      <w:r w:rsidR="0006278B" w:rsidRPr="006236BC">
        <w:rPr>
          <w:sz w:val="22"/>
          <w:szCs w:val="22"/>
        </w:rPr>
        <w:t>.</w:t>
      </w:r>
    </w:p>
    <w:p w:rsidR="00582B7F" w:rsidRPr="006236BC" w:rsidRDefault="00582B7F" w:rsidP="00B72DB9">
      <w:pPr>
        <w:spacing w:line="228" w:lineRule="auto"/>
        <w:ind w:firstLine="720"/>
        <w:jc w:val="both"/>
        <w:rPr>
          <w:sz w:val="22"/>
          <w:szCs w:val="22"/>
        </w:rPr>
      </w:pPr>
      <w:r w:rsidRPr="006236BC">
        <w:rPr>
          <w:sz w:val="22"/>
          <w:szCs w:val="22"/>
        </w:rPr>
        <w:t xml:space="preserve">До збірника включено розділ </w:t>
      </w:r>
      <w:r w:rsidR="003B4B3B" w:rsidRPr="006236BC">
        <w:rPr>
          <w:sz w:val="22"/>
          <w:szCs w:val="22"/>
        </w:rPr>
        <w:t>"</w:t>
      </w:r>
      <w:r w:rsidRPr="006236BC">
        <w:rPr>
          <w:sz w:val="22"/>
          <w:szCs w:val="22"/>
        </w:rPr>
        <w:t>Методологічні пояснення</w:t>
      </w:r>
      <w:r w:rsidR="003B4B3B" w:rsidRPr="006236BC">
        <w:rPr>
          <w:sz w:val="22"/>
          <w:szCs w:val="22"/>
        </w:rPr>
        <w:t>"</w:t>
      </w:r>
      <w:r w:rsidRPr="006236BC">
        <w:rPr>
          <w:sz w:val="22"/>
          <w:szCs w:val="22"/>
        </w:rPr>
        <w:t xml:space="preserve"> для роз’яснення окремих методологічних положень, що використовувались при складанні і розробці статистичної звітності.</w:t>
      </w:r>
    </w:p>
    <w:p w:rsidR="006236BC" w:rsidRPr="006236BC" w:rsidRDefault="006236BC" w:rsidP="00B72DB9">
      <w:pPr>
        <w:spacing w:line="228" w:lineRule="auto"/>
        <w:ind w:firstLine="720"/>
        <w:jc w:val="both"/>
        <w:rPr>
          <w:sz w:val="22"/>
          <w:szCs w:val="22"/>
        </w:rPr>
      </w:pPr>
      <w:r w:rsidRPr="006236BC">
        <w:rPr>
          <w:sz w:val="22"/>
          <w:szCs w:val="22"/>
        </w:rPr>
        <w:t>Окремі показники є попередніми та ймовірно будуть уточнені в наступних виданнях, деякі показники попередніх років уточнені по відношенню до раніше опублікованих</w:t>
      </w:r>
      <w:r>
        <w:rPr>
          <w:sz w:val="22"/>
          <w:szCs w:val="22"/>
        </w:rPr>
        <w:t>.</w:t>
      </w:r>
    </w:p>
    <w:p w:rsidR="001A0E35" w:rsidRPr="006236BC" w:rsidRDefault="001A0E35" w:rsidP="00B72DB9">
      <w:pPr>
        <w:pStyle w:val="a8"/>
        <w:spacing w:line="228" w:lineRule="auto"/>
        <w:ind w:firstLine="720"/>
        <w:rPr>
          <w:rFonts w:ascii="Times New Roman" w:hAnsi="Times New Roman"/>
          <w:sz w:val="22"/>
          <w:szCs w:val="22"/>
        </w:rPr>
      </w:pPr>
      <w:r w:rsidRPr="006236BC">
        <w:rPr>
          <w:rFonts w:ascii="Times New Roman" w:hAnsi="Times New Roman"/>
          <w:sz w:val="22"/>
          <w:szCs w:val="22"/>
        </w:rPr>
        <w:t>При підготовці збірника використано дані державних статистичних спостере</w:t>
      </w:r>
      <w:r w:rsidR="00083A3A" w:rsidRPr="006236BC">
        <w:rPr>
          <w:rFonts w:ascii="Times New Roman" w:hAnsi="Times New Roman"/>
          <w:sz w:val="22"/>
          <w:szCs w:val="22"/>
        </w:rPr>
        <w:t xml:space="preserve">жень за формами № </w:t>
      </w:r>
      <w:r w:rsidRPr="006236BC">
        <w:rPr>
          <w:rFonts w:ascii="Times New Roman" w:hAnsi="Times New Roman"/>
          <w:sz w:val="22"/>
          <w:szCs w:val="22"/>
        </w:rPr>
        <w:t xml:space="preserve">3-наука </w:t>
      </w:r>
      <w:r w:rsidR="003B4B3B" w:rsidRPr="006236BC">
        <w:rPr>
          <w:rFonts w:ascii="Times New Roman" w:hAnsi="Times New Roman"/>
          <w:sz w:val="22"/>
          <w:szCs w:val="22"/>
        </w:rPr>
        <w:t>"</w:t>
      </w:r>
      <w:r w:rsidRPr="006236BC">
        <w:rPr>
          <w:rFonts w:ascii="Times New Roman" w:hAnsi="Times New Roman"/>
          <w:sz w:val="22"/>
          <w:szCs w:val="22"/>
        </w:rPr>
        <w:t xml:space="preserve">Звіт про </w:t>
      </w:r>
      <w:r w:rsidR="00045507" w:rsidRPr="006236BC">
        <w:rPr>
          <w:rFonts w:ascii="Times New Roman" w:hAnsi="Times New Roman"/>
          <w:sz w:val="22"/>
          <w:szCs w:val="22"/>
        </w:rPr>
        <w:t>здійснення</w:t>
      </w:r>
      <w:r w:rsidRPr="006236BC">
        <w:rPr>
          <w:rFonts w:ascii="Times New Roman" w:hAnsi="Times New Roman"/>
          <w:sz w:val="22"/>
          <w:szCs w:val="22"/>
        </w:rPr>
        <w:t xml:space="preserve"> </w:t>
      </w:r>
      <w:r w:rsidR="00A44C89" w:rsidRPr="006236BC">
        <w:rPr>
          <w:rFonts w:ascii="Times New Roman" w:hAnsi="Times New Roman"/>
          <w:sz w:val="22"/>
          <w:szCs w:val="22"/>
        </w:rPr>
        <w:t xml:space="preserve">наукових </w:t>
      </w:r>
      <w:r w:rsidR="00045507" w:rsidRPr="006236BC">
        <w:rPr>
          <w:rFonts w:ascii="Times New Roman" w:hAnsi="Times New Roman"/>
          <w:sz w:val="22"/>
          <w:szCs w:val="22"/>
        </w:rPr>
        <w:t>досліджень і розробок"</w:t>
      </w:r>
      <w:r w:rsidRPr="006236BC">
        <w:rPr>
          <w:rFonts w:ascii="Times New Roman" w:hAnsi="Times New Roman"/>
          <w:sz w:val="22"/>
          <w:szCs w:val="22"/>
        </w:rPr>
        <w:t xml:space="preserve">, </w:t>
      </w:r>
      <w:r w:rsidR="00D600FC" w:rsidRPr="006236BC">
        <w:rPr>
          <w:rFonts w:ascii="Times New Roman" w:hAnsi="Times New Roman"/>
          <w:sz w:val="22"/>
          <w:szCs w:val="22"/>
        </w:rPr>
        <w:t xml:space="preserve">№ </w:t>
      </w:r>
      <w:r w:rsidRPr="006236BC">
        <w:rPr>
          <w:rFonts w:ascii="Times New Roman" w:hAnsi="Times New Roman"/>
          <w:sz w:val="22"/>
          <w:szCs w:val="22"/>
        </w:rPr>
        <w:t xml:space="preserve">1-нк </w:t>
      </w:r>
      <w:r w:rsidR="003B4B3B" w:rsidRPr="006236BC">
        <w:rPr>
          <w:rFonts w:ascii="Times New Roman" w:hAnsi="Times New Roman"/>
          <w:sz w:val="22"/>
          <w:szCs w:val="22"/>
        </w:rPr>
        <w:t>"</w:t>
      </w:r>
      <w:r w:rsidRPr="006236BC">
        <w:rPr>
          <w:rFonts w:ascii="Times New Roman" w:hAnsi="Times New Roman"/>
          <w:sz w:val="22"/>
          <w:szCs w:val="22"/>
        </w:rPr>
        <w:t>Звіт про роботу аспірантури та докторантури</w:t>
      </w:r>
      <w:r w:rsidR="003B4B3B" w:rsidRPr="006236BC">
        <w:rPr>
          <w:rFonts w:ascii="Times New Roman" w:hAnsi="Times New Roman"/>
          <w:sz w:val="22"/>
          <w:szCs w:val="22"/>
        </w:rPr>
        <w:t>"</w:t>
      </w:r>
      <w:r w:rsidRPr="006236BC">
        <w:rPr>
          <w:rFonts w:ascii="Times New Roman" w:hAnsi="Times New Roman"/>
          <w:sz w:val="22"/>
          <w:szCs w:val="22"/>
        </w:rPr>
        <w:t xml:space="preserve">, </w:t>
      </w:r>
      <w:r w:rsidR="00D600FC" w:rsidRPr="006236BC">
        <w:rPr>
          <w:rFonts w:ascii="Times New Roman" w:hAnsi="Times New Roman"/>
          <w:sz w:val="22"/>
          <w:szCs w:val="22"/>
        </w:rPr>
        <w:t xml:space="preserve">№ </w:t>
      </w:r>
      <w:r w:rsidRPr="006236BC">
        <w:rPr>
          <w:rFonts w:ascii="Times New Roman" w:hAnsi="Times New Roman"/>
          <w:sz w:val="22"/>
          <w:szCs w:val="22"/>
        </w:rPr>
        <w:t xml:space="preserve">1-інновація </w:t>
      </w:r>
      <w:r w:rsidR="003B4B3B" w:rsidRPr="006236BC">
        <w:rPr>
          <w:rFonts w:ascii="Times New Roman" w:hAnsi="Times New Roman"/>
          <w:sz w:val="22"/>
          <w:szCs w:val="22"/>
        </w:rPr>
        <w:t>"</w:t>
      </w:r>
      <w:r w:rsidRPr="006236BC">
        <w:rPr>
          <w:rFonts w:ascii="Times New Roman" w:hAnsi="Times New Roman"/>
          <w:sz w:val="22"/>
          <w:szCs w:val="22"/>
        </w:rPr>
        <w:t>Обстеження інновацій</w:t>
      </w:r>
      <w:r w:rsidR="005841D6" w:rsidRPr="006236BC">
        <w:rPr>
          <w:rFonts w:ascii="Times New Roman" w:hAnsi="Times New Roman"/>
          <w:sz w:val="22"/>
          <w:szCs w:val="22"/>
        </w:rPr>
        <w:t>ної діяльності</w:t>
      </w:r>
      <w:r w:rsidRPr="006236BC">
        <w:rPr>
          <w:rFonts w:ascii="Times New Roman" w:hAnsi="Times New Roman"/>
          <w:sz w:val="22"/>
          <w:szCs w:val="22"/>
        </w:rPr>
        <w:t xml:space="preserve"> промислового підприємства</w:t>
      </w:r>
      <w:r w:rsidR="003B4B3B" w:rsidRPr="006236BC">
        <w:rPr>
          <w:rFonts w:ascii="Times New Roman" w:hAnsi="Times New Roman"/>
          <w:sz w:val="22"/>
          <w:szCs w:val="22"/>
        </w:rPr>
        <w:t>"</w:t>
      </w:r>
      <w:r w:rsidR="005841D6" w:rsidRPr="006236BC">
        <w:rPr>
          <w:rFonts w:ascii="Times New Roman" w:hAnsi="Times New Roman"/>
          <w:sz w:val="22"/>
          <w:szCs w:val="22"/>
        </w:rPr>
        <w:t>, № ІНН "Обстеження інноваційної діяльності підприємства за період 201</w:t>
      </w:r>
      <w:r w:rsidR="00045507" w:rsidRPr="006236BC">
        <w:rPr>
          <w:rFonts w:ascii="Times New Roman" w:hAnsi="Times New Roman"/>
          <w:sz w:val="22"/>
          <w:szCs w:val="22"/>
        </w:rPr>
        <w:t>4</w:t>
      </w:r>
      <w:r w:rsidR="005841D6" w:rsidRPr="006236BC">
        <w:rPr>
          <w:rFonts w:ascii="Times New Roman" w:hAnsi="Times New Roman"/>
          <w:sz w:val="22"/>
          <w:szCs w:val="22"/>
        </w:rPr>
        <w:t>-201</w:t>
      </w:r>
      <w:r w:rsidR="00045507" w:rsidRPr="006236BC">
        <w:rPr>
          <w:rFonts w:ascii="Times New Roman" w:hAnsi="Times New Roman"/>
          <w:sz w:val="22"/>
          <w:szCs w:val="22"/>
        </w:rPr>
        <w:t>6</w:t>
      </w:r>
      <w:r w:rsidR="005841D6" w:rsidRPr="006236BC">
        <w:rPr>
          <w:rFonts w:ascii="Times New Roman" w:hAnsi="Times New Roman"/>
          <w:sz w:val="22"/>
          <w:szCs w:val="22"/>
        </w:rPr>
        <w:t xml:space="preserve"> </w:t>
      </w:r>
      <w:r w:rsidR="00A81840" w:rsidRPr="006236BC">
        <w:rPr>
          <w:rFonts w:ascii="Times New Roman" w:hAnsi="Times New Roman"/>
          <w:sz w:val="22"/>
          <w:szCs w:val="22"/>
        </w:rPr>
        <w:t>рок</w:t>
      </w:r>
      <w:r w:rsidR="007D71ED">
        <w:rPr>
          <w:rFonts w:ascii="Times New Roman" w:hAnsi="Times New Roman"/>
          <w:sz w:val="22"/>
          <w:szCs w:val="22"/>
        </w:rPr>
        <w:t>ів</w:t>
      </w:r>
      <w:r w:rsidR="005841D6" w:rsidRPr="006236BC">
        <w:rPr>
          <w:rFonts w:ascii="Times New Roman" w:hAnsi="Times New Roman"/>
          <w:sz w:val="22"/>
          <w:szCs w:val="22"/>
        </w:rPr>
        <w:t>"</w:t>
      </w:r>
      <w:r w:rsidRPr="006236BC">
        <w:rPr>
          <w:rFonts w:ascii="Times New Roman" w:hAnsi="Times New Roman"/>
          <w:sz w:val="22"/>
          <w:szCs w:val="22"/>
        </w:rPr>
        <w:t>.</w:t>
      </w:r>
    </w:p>
    <w:p w:rsidR="00582B7F" w:rsidRPr="006236BC" w:rsidRDefault="00582B7F" w:rsidP="00B72DB9">
      <w:pPr>
        <w:spacing w:line="228" w:lineRule="auto"/>
        <w:ind w:firstLine="720"/>
        <w:jc w:val="both"/>
        <w:rPr>
          <w:sz w:val="22"/>
          <w:szCs w:val="22"/>
        </w:rPr>
      </w:pPr>
      <w:r w:rsidRPr="006236BC">
        <w:rPr>
          <w:sz w:val="22"/>
          <w:szCs w:val="22"/>
        </w:rPr>
        <w:t>У</w:t>
      </w:r>
      <w:r w:rsidR="00B0718E" w:rsidRPr="006236BC">
        <w:rPr>
          <w:sz w:val="22"/>
          <w:szCs w:val="22"/>
        </w:rPr>
        <w:t xml:space="preserve"> </w:t>
      </w:r>
      <w:r w:rsidRPr="006236BC">
        <w:rPr>
          <w:sz w:val="22"/>
          <w:szCs w:val="22"/>
        </w:rPr>
        <w:t xml:space="preserve">збірнику інформація наведена як у цілому по Україні, так і в розрізі регіонів, видів економічної діяльності, </w:t>
      </w:r>
      <w:r w:rsidR="00B0718E" w:rsidRPr="006236BC">
        <w:rPr>
          <w:sz w:val="22"/>
          <w:szCs w:val="22"/>
        </w:rPr>
        <w:t>галузей наук,</w:t>
      </w:r>
      <w:r w:rsidRPr="006236BC">
        <w:rPr>
          <w:sz w:val="22"/>
          <w:szCs w:val="22"/>
        </w:rPr>
        <w:t xml:space="preserve"> секторів діяльності</w:t>
      </w:r>
      <w:r w:rsidR="00B0718E" w:rsidRPr="006236BC">
        <w:rPr>
          <w:sz w:val="22"/>
          <w:szCs w:val="22"/>
        </w:rPr>
        <w:t xml:space="preserve"> та національних академій наук</w:t>
      </w:r>
      <w:r w:rsidRPr="006236BC">
        <w:rPr>
          <w:sz w:val="22"/>
          <w:szCs w:val="22"/>
        </w:rPr>
        <w:t xml:space="preserve">. Збірник доповнено графіками та діаграмами, що дають наочне уявлення про </w:t>
      </w:r>
      <w:r w:rsidR="009A0655">
        <w:rPr>
          <w:sz w:val="22"/>
          <w:szCs w:val="22"/>
        </w:rPr>
        <w:t>наведену</w:t>
      </w:r>
      <w:r w:rsidRPr="006236BC">
        <w:rPr>
          <w:sz w:val="22"/>
          <w:szCs w:val="22"/>
        </w:rPr>
        <w:t xml:space="preserve"> інформацію.</w:t>
      </w:r>
    </w:p>
    <w:p w:rsidR="00582B7F" w:rsidRDefault="00582B7F" w:rsidP="00135AE6">
      <w:pPr>
        <w:spacing w:line="228" w:lineRule="auto"/>
        <w:ind w:firstLine="720"/>
        <w:jc w:val="both"/>
        <w:rPr>
          <w:sz w:val="22"/>
          <w:szCs w:val="22"/>
        </w:rPr>
      </w:pPr>
      <w:r w:rsidRPr="006236BC">
        <w:rPr>
          <w:sz w:val="22"/>
          <w:szCs w:val="22"/>
        </w:rPr>
        <w:t xml:space="preserve">До збірника включено </w:t>
      </w:r>
      <w:r w:rsidR="00135AE6" w:rsidRPr="006236BC">
        <w:rPr>
          <w:sz w:val="22"/>
          <w:szCs w:val="22"/>
        </w:rPr>
        <w:t xml:space="preserve">аналітичні та статистичні матеріали </w:t>
      </w:r>
      <w:proofErr w:type="spellStart"/>
      <w:r w:rsidR="00135AE6" w:rsidRPr="006236BC">
        <w:rPr>
          <w:sz w:val="22"/>
          <w:szCs w:val="22"/>
        </w:rPr>
        <w:t>Євростату</w:t>
      </w:r>
      <w:proofErr w:type="spellEnd"/>
      <w:r w:rsidRPr="006236BC">
        <w:rPr>
          <w:sz w:val="22"/>
          <w:szCs w:val="22"/>
        </w:rPr>
        <w:t xml:space="preserve">, </w:t>
      </w:r>
      <w:r w:rsidR="005B14BD" w:rsidRPr="006236BC">
        <w:rPr>
          <w:sz w:val="22"/>
          <w:szCs w:val="22"/>
        </w:rPr>
        <w:t>Інституту статистики ЮНЕСКО</w:t>
      </w:r>
      <w:r w:rsidR="001145F5" w:rsidRPr="006236BC">
        <w:rPr>
          <w:sz w:val="22"/>
          <w:szCs w:val="22"/>
        </w:rPr>
        <w:t xml:space="preserve">, а також </w:t>
      </w:r>
      <w:r w:rsidR="0042738C" w:rsidRPr="006236BC">
        <w:rPr>
          <w:sz w:val="22"/>
          <w:szCs w:val="22"/>
        </w:rPr>
        <w:t xml:space="preserve">адміністративні дані </w:t>
      </w:r>
      <w:r w:rsidR="00E544CC">
        <w:rPr>
          <w:sz w:val="22"/>
          <w:szCs w:val="22"/>
        </w:rPr>
        <w:t>Державного підприємства "Український інститут</w:t>
      </w:r>
      <w:r w:rsidR="001145F5" w:rsidRPr="006236BC">
        <w:rPr>
          <w:sz w:val="22"/>
          <w:szCs w:val="22"/>
        </w:rPr>
        <w:t xml:space="preserve"> інтелектуальної власності</w:t>
      </w:r>
      <w:r w:rsidR="00E544CC">
        <w:rPr>
          <w:sz w:val="22"/>
          <w:szCs w:val="22"/>
        </w:rPr>
        <w:t>"</w:t>
      </w:r>
      <w:r w:rsidR="00A81840" w:rsidRPr="006236BC">
        <w:rPr>
          <w:sz w:val="22"/>
          <w:szCs w:val="22"/>
        </w:rPr>
        <w:t xml:space="preserve"> Міністерства економічного розвитку</w:t>
      </w:r>
      <w:r w:rsidR="001145F5" w:rsidRPr="006236BC">
        <w:rPr>
          <w:sz w:val="22"/>
          <w:szCs w:val="22"/>
        </w:rPr>
        <w:t xml:space="preserve"> </w:t>
      </w:r>
      <w:r w:rsidR="00A81840" w:rsidRPr="006236BC">
        <w:rPr>
          <w:sz w:val="22"/>
          <w:szCs w:val="22"/>
        </w:rPr>
        <w:t xml:space="preserve">і торгівлі </w:t>
      </w:r>
      <w:r w:rsidR="001145F5" w:rsidRPr="006236BC">
        <w:rPr>
          <w:sz w:val="22"/>
          <w:szCs w:val="22"/>
        </w:rPr>
        <w:t>України</w:t>
      </w:r>
      <w:r w:rsidR="00E544CC">
        <w:rPr>
          <w:sz w:val="22"/>
          <w:szCs w:val="22"/>
        </w:rPr>
        <w:t>.</w:t>
      </w:r>
    </w:p>
    <w:p w:rsidR="006236BC" w:rsidRDefault="006236BC" w:rsidP="006236BC">
      <w:pPr>
        <w:pStyle w:val="a7"/>
        <w:ind w:firstLine="709"/>
        <w:rPr>
          <w:rFonts w:ascii="Times New Roman" w:hAnsi="Times New Roman"/>
          <w:sz w:val="22"/>
          <w:szCs w:val="22"/>
        </w:rPr>
      </w:pPr>
      <w:r w:rsidRPr="006236BC">
        <w:rPr>
          <w:rFonts w:ascii="Times New Roman" w:hAnsi="Times New Roman"/>
          <w:sz w:val="22"/>
          <w:szCs w:val="22"/>
        </w:rPr>
        <w:t xml:space="preserve">У збірнику інформацію за результатами державних статистичних спостережень </w:t>
      </w:r>
      <w:r>
        <w:rPr>
          <w:rFonts w:ascii="Times New Roman" w:hAnsi="Times New Roman"/>
          <w:sz w:val="22"/>
          <w:szCs w:val="22"/>
        </w:rPr>
        <w:t xml:space="preserve">                                       </w:t>
      </w:r>
      <w:r w:rsidRPr="006236BC">
        <w:rPr>
          <w:rFonts w:ascii="Times New Roman" w:hAnsi="Times New Roman"/>
          <w:sz w:val="22"/>
          <w:szCs w:val="22"/>
        </w:rPr>
        <w:t>за 2014-201</w:t>
      </w:r>
      <w:r w:rsidR="007D71ED">
        <w:rPr>
          <w:rFonts w:ascii="Times New Roman" w:hAnsi="Times New Roman"/>
          <w:sz w:val="22"/>
          <w:szCs w:val="22"/>
        </w:rPr>
        <w:t>7</w:t>
      </w:r>
      <w:r>
        <w:rPr>
          <w:rFonts w:ascii="Times New Roman" w:hAnsi="Times New Roman"/>
          <w:sz w:val="22"/>
          <w:szCs w:val="22"/>
        </w:rPr>
        <w:t> </w:t>
      </w:r>
      <w:r w:rsidRPr="006236BC">
        <w:rPr>
          <w:rFonts w:ascii="Times New Roman" w:hAnsi="Times New Roman"/>
          <w:sz w:val="22"/>
          <w:szCs w:val="22"/>
        </w:rPr>
        <w:t xml:space="preserve">роки наведено і розраховано без урахування тимчасово окупованої території Автономної Республіки Крим, м. Севастополя та частини </w:t>
      </w:r>
      <w:r w:rsidR="007D71ED">
        <w:rPr>
          <w:rFonts w:ascii="Times New Roman" w:hAnsi="Times New Roman"/>
          <w:sz w:val="22"/>
          <w:szCs w:val="22"/>
        </w:rPr>
        <w:t>тимчасово окупованих територій у Донецькій та Луганській областях</w:t>
      </w:r>
      <w:r w:rsidRPr="006236BC">
        <w:rPr>
          <w:rFonts w:ascii="Times New Roman" w:hAnsi="Times New Roman"/>
          <w:sz w:val="22"/>
          <w:szCs w:val="22"/>
        </w:rPr>
        <w:t>. Інформація, яка розробляється за даними центральних органів виконавчої влади, сформована на підставі наявних адміністративних даних. Дані по Донецькій та Луганській областях наведені по підприємствах, установах та організаціях, які подали звітність до органів державної статистики.</w:t>
      </w:r>
    </w:p>
    <w:p w:rsidR="00E544CC" w:rsidRPr="006236BC" w:rsidRDefault="00E544CC" w:rsidP="00E544CC">
      <w:pPr>
        <w:spacing w:line="228" w:lineRule="auto"/>
        <w:ind w:firstLine="720"/>
        <w:jc w:val="both"/>
        <w:rPr>
          <w:sz w:val="22"/>
          <w:szCs w:val="22"/>
        </w:rPr>
      </w:pPr>
      <w:r w:rsidRPr="006102E9">
        <w:rPr>
          <w:sz w:val="22"/>
          <w:szCs w:val="22"/>
        </w:rPr>
        <w:t xml:space="preserve">Збірник підготовлено фахівцями </w:t>
      </w:r>
      <w:r w:rsidRPr="006236BC">
        <w:rPr>
          <w:sz w:val="22"/>
          <w:szCs w:val="22"/>
        </w:rPr>
        <w:t>відділу статистики науки та інновацій і відділу статистики послуг гуманітарної сфери департаменту статистики послуг Державної служби статистики України.</w:t>
      </w:r>
    </w:p>
    <w:p w:rsidR="006236BC" w:rsidRPr="006236BC" w:rsidRDefault="006236BC" w:rsidP="00135AE6">
      <w:pPr>
        <w:spacing w:line="228" w:lineRule="auto"/>
        <w:ind w:firstLine="720"/>
        <w:jc w:val="both"/>
        <w:rPr>
          <w:sz w:val="22"/>
          <w:szCs w:val="22"/>
        </w:rPr>
      </w:pPr>
    </w:p>
    <w:p w:rsidR="00FC1218" w:rsidRPr="006236BC" w:rsidRDefault="00FC1218" w:rsidP="00FC1218">
      <w:pPr>
        <w:spacing w:line="228" w:lineRule="auto"/>
        <w:ind w:right="51" w:firstLine="720"/>
        <w:jc w:val="both"/>
        <w:rPr>
          <w:sz w:val="22"/>
          <w:szCs w:val="22"/>
        </w:rPr>
      </w:pPr>
      <w:r w:rsidRPr="006236BC">
        <w:rPr>
          <w:sz w:val="22"/>
          <w:szCs w:val="22"/>
        </w:rPr>
        <w:t>Усі вартісні показники наводяться у фактичних цінах.</w:t>
      </w:r>
    </w:p>
    <w:p w:rsidR="003C731E" w:rsidRDefault="004970FB" w:rsidP="004970FB">
      <w:pPr>
        <w:spacing w:before="120" w:after="40" w:line="228" w:lineRule="auto"/>
        <w:ind w:firstLine="720"/>
        <w:jc w:val="right"/>
        <w:rPr>
          <w:b/>
          <w:i/>
          <w:sz w:val="24"/>
          <w:szCs w:val="24"/>
        </w:rPr>
      </w:pPr>
      <w:r>
        <w:rPr>
          <w:b/>
          <w:i/>
          <w:sz w:val="24"/>
          <w:szCs w:val="24"/>
        </w:rPr>
        <w:t>Департамент статистики послуг</w:t>
      </w:r>
    </w:p>
    <w:p w:rsidR="00390C80" w:rsidRDefault="00390C80" w:rsidP="003C731E">
      <w:pPr>
        <w:spacing w:before="120" w:after="120"/>
        <w:ind w:firstLine="720"/>
        <w:jc w:val="both"/>
        <w:rPr>
          <w:b/>
          <w:sz w:val="24"/>
          <w:szCs w:val="24"/>
        </w:rPr>
      </w:pPr>
    </w:p>
    <w:p w:rsidR="00B0718E" w:rsidRDefault="00B0718E" w:rsidP="003C731E">
      <w:pPr>
        <w:spacing w:before="120" w:after="120"/>
        <w:ind w:firstLine="720"/>
        <w:jc w:val="both"/>
        <w:rPr>
          <w:b/>
          <w:sz w:val="24"/>
          <w:szCs w:val="24"/>
        </w:rPr>
      </w:pPr>
    </w:p>
    <w:p w:rsidR="003C731E" w:rsidRPr="003C731E" w:rsidRDefault="003C731E" w:rsidP="003C731E">
      <w:pPr>
        <w:spacing w:before="120" w:after="120"/>
        <w:ind w:firstLine="720"/>
        <w:jc w:val="both"/>
        <w:rPr>
          <w:b/>
          <w:sz w:val="24"/>
          <w:szCs w:val="24"/>
        </w:rPr>
      </w:pPr>
      <w:r w:rsidRPr="003C731E">
        <w:rPr>
          <w:b/>
          <w:sz w:val="24"/>
          <w:szCs w:val="24"/>
        </w:rPr>
        <w:t>Скорочення у збірнику</w:t>
      </w:r>
    </w:p>
    <w:p w:rsidR="003C731E" w:rsidRDefault="003C731E" w:rsidP="003C731E">
      <w:pPr>
        <w:ind w:right="51"/>
        <w:jc w:val="both"/>
        <w:rPr>
          <w:sz w:val="24"/>
          <w:szCs w:val="24"/>
        </w:rPr>
      </w:pPr>
      <w:r>
        <w:rPr>
          <w:sz w:val="24"/>
          <w:szCs w:val="24"/>
        </w:rPr>
        <w:t xml:space="preserve">од </w:t>
      </w:r>
      <w:r w:rsidR="00B0718E">
        <w:rPr>
          <w:sz w:val="24"/>
          <w:szCs w:val="24"/>
        </w:rPr>
        <w:t>–</w:t>
      </w:r>
      <w:r>
        <w:rPr>
          <w:sz w:val="24"/>
          <w:szCs w:val="24"/>
        </w:rPr>
        <w:t xml:space="preserve"> одиниць</w:t>
      </w:r>
    </w:p>
    <w:p w:rsidR="003C731E" w:rsidRDefault="003C731E" w:rsidP="003C731E">
      <w:pPr>
        <w:ind w:right="51"/>
        <w:jc w:val="both"/>
        <w:rPr>
          <w:sz w:val="24"/>
          <w:szCs w:val="24"/>
        </w:rPr>
      </w:pPr>
      <w:r>
        <w:rPr>
          <w:sz w:val="24"/>
          <w:szCs w:val="24"/>
        </w:rPr>
        <w:t xml:space="preserve">% </w:t>
      </w:r>
      <w:r w:rsidR="00B0718E">
        <w:rPr>
          <w:sz w:val="24"/>
          <w:szCs w:val="24"/>
        </w:rPr>
        <w:t>–</w:t>
      </w:r>
      <w:r>
        <w:rPr>
          <w:sz w:val="24"/>
          <w:szCs w:val="24"/>
        </w:rPr>
        <w:t xml:space="preserve"> відсоток</w:t>
      </w:r>
    </w:p>
    <w:p w:rsidR="003C731E" w:rsidRDefault="003C731E" w:rsidP="003C731E">
      <w:pPr>
        <w:ind w:right="51"/>
        <w:jc w:val="both"/>
        <w:rPr>
          <w:sz w:val="24"/>
          <w:szCs w:val="24"/>
        </w:rPr>
      </w:pPr>
      <w:r>
        <w:rPr>
          <w:sz w:val="24"/>
          <w:szCs w:val="24"/>
        </w:rPr>
        <w:t xml:space="preserve">грн </w:t>
      </w:r>
      <w:r w:rsidR="00B0718E">
        <w:rPr>
          <w:sz w:val="24"/>
          <w:szCs w:val="24"/>
        </w:rPr>
        <w:t>–</w:t>
      </w:r>
      <w:r>
        <w:rPr>
          <w:sz w:val="24"/>
          <w:szCs w:val="24"/>
        </w:rPr>
        <w:t xml:space="preserve"> гривня</w:t>
      </w:r>
    </w:p>
    <w:p w:rsidR="003C731E" w:rsidRPr="003C731E" w:rsidRDefault="003C731E" w:rsidP="003C731E">
      <w:pPr>
        <w:ind w:right="51"/>
        <w:jc w:val="both"/>
        <w:rPr>
          <w:sz w:val="24"/>
          <w:szCs w:val="24"/>
        </w:rPr>
      </w:pPr>
      <w:r>
        <w:rPr>
          <w:sz w:val="24"/>
          <w:szCs w:val="24"/>
        </w:rPr>
        <w:t xml:space="preserve">тис. </w:t>
      </w:r>
      <w:r w:rsidR="00B0718E">
        <w:rPr>
          <w:sz w:val="24"/>
          <w:szCs w:val="24"/>
        </w:rPr>
        <w:t>–</w:t>
      </w:r>
      <w:r>
        <w:rPr>
          <w:sz w:val="24"/>
          <w:szCs w:val="24"/>
        </w:rPr>
        <w:t xml:space="preserve"> тисяча</w:t>
      </w:r>
    </w:p>
    <w:p w:rsidR="00A94665" w:rsidRPr="003C731E" w:rsidRDefault="00A94665" w:rsidP="003C731E">
      <w:pPr>
        <w:spacing w:before="120" w:after="120"/>
        <w:ind w:firstLine="720"/>
        <w:jc w:val="both"/>
        <w:rPr>
          <w:b/>
          <w:sz w:val="24"/>
          <w:szCs w:val="24"/>
        </w:rPr>
      </w:pPr>
      <w:r w:rsidRPr="003C731E">
        <w:rPr>
          <w:b/>
          <w:sz w:val="24"/>
          <w:szCs w:val="24"/>
        </w:rPr>
        <w:t>Умовні позначення у збірнику:</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082"/>
      </w:tblGrid>
      <w:tr w:rsidR="005363E5" w:rsidTr="00390C80">
        <w:tc>
          <w:tcPr>
            <w:tcW w:w="2547" w:type="dxa"/>
          </w:tcPr>
          <w:p w:rsidR="005363E5" w:rsidRDefault="005363E5" w:rsidP="003C731E">
            <w:pPr>
              <w:ind w:right="51"/>
              <w:jc w:val="both"/>
              <w:rPr>
                <w:sz w:val="24"/>
                <w:szCs w:val="24"/>
              </w:rPr>
            </w:pPr>
            <w:r w:rsidRPr="005363E5">
              <w:rPr>
                <w:sz w:val="24"/>
                <w:szCs w:val="24"/>
              </w:rPr>
              <w:t>Тире (–)</w:t>
            </w:r>
          </w:p>
        </w:tc>
        <w:tc>
          <w:tcPr>
            <w:tcW w:w="7082" w:type="dxa"/>
          </w:tcPr>
          <w:p w:rsidR="005363E5" w:rsidRDefault="005363E5" w:rsidP="003C731E">
            <w:pPr>
              <w:ind w:right="51"/>
              <w:jc w:val="both"/>
              <w:rPr>
                <w:sz w:val="24"/>
                <w:szCs w:val="24"/>
              </w:rPr>
            </w:pPr>
            <w:r w:rsidRPr="005363E5">
              <w:rPr>
                <w:sz w:val="24"/>
                <w:szCs w:val="24"/>
              </w:rPr>
              <w:t>– явищ не було;</w:t>
            </w:r>
          </w:p>
        </w:tc>
      </w:tr>
      <w:tr w:rsidR="005363E5" w:rsidTr="00390C80">
        <w:tc>
          <w:tcPr>
            <w:tcW w:w="2547" w:type="dxa"/>
          </w:tcPr>
          <w:p w:rsidR="005363E5" w:rsidRDefault="00E544CC" w:rsidP="005363E5">
            <w:pPr>
              <w:ind w:right="51"/>
              <w:jc w:val="both"/>
              <w:rPr>
                <w:sz w:val="24"/>
                <w:szCs w:val="24"/>
              </w:rPr>
            </w:pPr>
            <w:r>
              <w:rPr>
                <w:sz w:val="24"/>
                <w:szCs w:val="24"/>
              </w:rPr>
              <w:t>К</w:t>
            </w:r>
            <w:r w:rsidR="005363E5" w:rsidRPr="005363E5">
              <w:rPr>
                <w:sz w:val="24"/>
                <w:szCs w:val="24"/>
              </w:rPr>
              <w:t>рапки (...)</w:t>
            </w:r>
          </w:p>
        </w:tc>
        <w:tc>
          <w:tcPr>
            <w:tcW w:w="7082" w:type="dxa"/>
          </w:tcPr>
          <w:p w:rsidR="005363E5" w:rsidRDefault="005363E5" w:rsidP="003C731E">
            <w:pPr>
              <w:ind w:right="51"/>
              <w:jc w:val="both"/>
              <w:rPr>
                <w:sz w:val="24"/>
                <w:szCs w:val="24"/>
              </w:rPr>
            </w:pPr>
            <w:r w:rsidRPr="005363E5">
              <w:rPr>
                <w:sz w:val="24"/>
                <w:szCs w:val="24"/>
              </w:rPr>
              <w:t>– відомості відсутні;</w:t>
            </w:r>
          </w:p>
        </w:tc>
      </w:tr>
      <w:tr w:rsidR="005363E5" w:rsidTr="00390C80">
        <w:tc>
          <w:tcPr>
            <w:tcW w:w="2547" w:type="dxa"/>
          </w:tcPr>
          <w:p w:rsidR="005363E5" w:rsidRDefault="00E544CC" w:rsidP="003C731E">
            <w:pPr>
              <w:ind w:right="51"/>
              <w:jc w:val="both"/>
              <w:rPr>
                <w:sz w:val="24"/>
                <w:szCs w:val="24"/>
              </w:rPr>
            </w:pPr>
            <w:r>
              <w:rPr>
                <w:sz w:val="24"/>
                <w:szCs w:val="24"/>
              </w:rPr>
              <w:t>Н</w:t>
            </w:r>
            <w:r w:rsidR="005363E5" w:rsidRPr="005363E5">
              <w:rPr>
                <w:sz w:val="24"/>
                <w:szCs w:val="24"/>
              </w:rPr>
              <w:t>уль (0; 0,0)</w:t>
            </w:r>
          </w:p>
        </w:tc>
        <w:tc>
          <w:tcPr>
            <w:tcW w:w="7082" w:type="dxa"/>
          </w:tcPr>
          <w:p w:rsidR="00390C80" w:rsidRDefault="005363E5" w:rsidP="005363E5">
            <w:pPr>
              <w:ind w:right="51"/>
              <w:jc w:val="both"/>
              <w:rPr>
                <w:sz w:val="24"/>
                <w:szCs w:val="24"/>
              </w:rPr>
            </w:pPr>
            <w:r w:rsidRPr="005363E5">
              <w:rPr>
                <w:sz w:val="24"/>
                <w:szCs w:val="24"/>
              </w:rPr>
              <w:t xml:space="preserve">– явища відбулися, але у вимірах менших за ті, що можуть бути </w:t>
            </w:r>
          </w:p>
          <w:p w:rsidR="005363E5" w:rsidRDefault="00390C80" w:rsidP="005363E5">
            <w:pPr>
              <w:ind w:right="51"/>
              <w:jc w:val="both"/>
              <w:rPr>
                <w:sz w:val="24"/>
                <w:szCs w:val="24"/>
              </w:rPr>
            </w:pPr>
            <w:r>
              <w:rPr>
                <w:sz w:val="24"/>
                <w:szCs w:val="24"/>
              </w:rPr>
              <w:t xml:space="preserve">   </w:t>
            </w:r>
            <w:r w:rsidR="005363E5" w:rsidRPr="005363E5">
              <w:rPr>
                <w:sz w:val="24"/>
                <w:szCs w:val="24"/>
              </w:rPr>
              <w:t>виражені використаними у таблиці розрядами;</w:t>
            </w:r>
          </w:p>
        </w:tc>
      </w:tr>
      <w:tr w:rsidR="005363E5" w:rsidTr="00390C80">
        <w:tc>
          <w:tcPr>
            <w:tcW w:w="2547" w:type="dxa"/>
          </w:tcPr>
          <w:p w:rsidR="005363E5" w:rsidRDefault="00E544CC" w:rsidP="00E544CC">
            <w:pPr>
              <w:ind w:right="51"/>
              <w:jc w:val="both"/>
              <w:rPr>
                <w:sz w:val="24"/>
                <w:szCs w:val="24"/>
              </w:rPr>
            </w:pPr>
            <w:r>
              <w:rPr>
                <w:sz w:val="24"/>
                <w:szCs w:val="24"/>
              </w:rPr>
              <w:t>С</w:t>
            </w:r>
            <w:r w:rsidR="005363E5" w:rsidRPr="005363E5">
              <w:rPr>
                <w:sz w:val="24"/>
                <w:szCs w:val="24"/>
              </w:rPr>
              <w:t>имвол (</w:t>
            </w:r>
            <w:r>
              <w:rPr>
                <w:sz w:val="24"/>
                <w:szCs w:val="24"/>
              </w:rPr>
              <w:t>Х</w:t>
            </w:r>
            <w:r w:rsidR="005363E5" w:rsidRPr="005363E5">
              <w:rPr>
                <w:sz w:val="24"/>
                <w:szCs w:val="24"/>
              </w:rPr>
              <w:t>)</w:t>
            </w:r>
          </w:p>
        </w:tc>
        <w:tc>
          <w:tcPr>
            <w:tcW w:w="7082" w:type="dxa"/>
          </w:tcPr>
          <w:p w:rsidR="005363E5" w:rsidRDefault="005363E5" w:rsidP="003C731E">
            <w:pPr>
              <w:ind w:right="51"/>
              <w:jc w:val="both"/>
              <w:rPr>
                <w:sz w:val="24"/>
                <w:szCs w:val="24"/>
              </w:rPr>
            </w:pPr>
            <w:r w:rsidRPr="005363E5">
              <w:rPr>
                <w:sz w:val="24"/>
                <w:szCs w:val="24"/>
              </w:rPr>
              <w:t>– заповнення рубрики за характером побудови таблиці недоцільне;</w:t>
            </w:r>
          </w:p>
        </w:tc>
      </w:tr>
      <w:tr w:rsidR="005363E5" w:rsidTr="00390C80">
        <w:tc>
          <w:tcPr>
            <w:tcW w:w="2547" w:type="dxa"/>
          </w:tcPr>
          <w:p w:rsidR="005363E5" w:rsidRDefault="005363E5" w:rsidP="003C731E">
            <w:pPr>
              <w:ind w:right="51"/>
              <w:jc w:val="both"/>
              <w:rPr>
                <w:sz w:val="24"/>
                <w:szCs w:val="24"/>
              </w:rPr>
            </w:pPr>
            <w:r w:rsidRPr="005363E5">
              <w:rPr>
                <w:sz w:val="24"/>
                <w:szCs w:val="24"/>
              </w:rPr>
              <w:t>"у тому числі", "з них"</w:t>
            </w:r>
          </w:p>
        </w:tc>
        <w:tc>
          <w:tcPr>
            <w:tcW w:w="7082" w:type="dxa"/>
          </w:tcPr>
          <w:p w:rsidR="00390C80" w:rsidRDefault="005363E5" w:rsidP="005363E5">
            <w:pPr>
              <w:jc w:val="both"/>
              <w:rPr>
                <w:sz w:val="24"/>
                <w:szCs w:val="24"/>
              </w:rPr>
            </w:pPr>
            <w:r w:rsidRPr="005363E5">
              <w:rPr>
                <w:sz w:val="24"/>
                <w:szCs w:val="24"/>
              </w:rPr>
              <w:t xml:space="preserve">– наведено не всі доданки загальної суми. Мають місце випадки, </w:t>
            </w:r>
          </w:p>
          <w:p w:rsidR="005363E5" w:rsidRDefault="00390C80" w:rsidP="005363E5">
            <w:pPr>
              <w:jc w:val="both"/>
              <w:rPr>
                <w:sz w:val="24"/>
                <w:szCs w:val="24"/>
              </w:rPr>
            </w:pPr>
            <w:r>
              <w:rPr>
                <w:sz w:val="24"/>
                <w:szCs w:val="24"/>
              </w:rPr>
              <w:t xml:space="preserve">   </w:t>
            </w:r>
            <w:r w:rsidR="005363E5" w:rsidRPr="005363E5">
              <w:rPr>
                <w:sz w:val="24"/>
                <w:szCs w:val="24"/>
              </w:rPr>
              <w:t>коли</w:t>
            </w:r>
            <w:r w:rsidR="005363E5">
              <w:rPr>
                <w:sz w:val="24"/>
                <w:szCs w:val="24"/>
              </w:rPr>
              <w:t xml:space="preserve"> </w:t>
            </w:r>
            <w:r w:rsidR="005363E5" w:rsidRPr="005363E5">
              <w:rPr>
                <w:sz w:val="24"/>
                <w:szCs w:val="24"/>
              </w:rPr>
              <w:t xml:space="preserve">наведено всі доданки загальної суми, а при округленні сума </w:t>
            </w:r>
          </w:p>
          <w:p w:rsidR="005363E5" w:rsidRDefault="00390C80" w:rsidP="00390C80">
            <w:pPr>
              <w:jc w:val="both"/>
              <w:rPr>
                <w:sz w:val="24"/>
                <w:szCs w:val="24"/>
              </w:rPr>
            </w:pPr>
            <w:r>
              <w:rPr>
                <w:sz w:val="24"/>
                <w:szCs w:val="24"/>
              </w:rPr>
              <w:t xml:space="preserve">   </w:t>
            </w:r>
            <w:r w:rsidR="005363E5" w:rsidRPr="005363E5">
              <w:rPr>
                <w:sz w:val="24"/>
                <w:szCs w:val="24"/>
              </w:rPr>
              <w:t>складових не дорівнює підсумку.</w:t>
            </w:r>
          </w:p>
        </w:tc>
      </w:tr>
    </w:tbl>
    <w:p w:rsidR="005363E5" w:rsidRPr="005363E5" w:rsidRDefault="005363E5">
      <w:pPr>
        <w:jc w:val="both"/>
        <w:rPr>
          <w:sz w:val="24"/>
          <w:szCs w:val="24"/>
        </w:rPr>
      </w:pPr>
      <w:r>
        <w:rPr>
          <w:sz w:val="24"/>
          <w:szCs w:val="24"/>
        </w:rPr>
        <w:t xml:space="preserve"> </w:t>
      </w:r>
      <w:r w:rsidRPr="005363E5">
        <w:rPr>
          <w:sz w:val="24"/>
          <w:szCs w:val="24"/>
        </w:rPr>
        <w:t xml:space="preserve"> </w:t>
      </w:r>
      <w:r w:rsidR="00390C80">
        <w:rPr>
          <w:sz w:val="24"/>
          <w:szCs w:val="24"/>
        </w:rPr>
        <w:t xml:space="preserve"> </w:t>
      </w:r>
      <w:bookmarkStart w:id="0" w:name="_GoBack"/>
      <w:bookmarkEnd w:id="0"/>
    </w:p>
    <w:sectPr w:rsidR="005363E5" w:rsidRPr="005363E5" w:rsidSect="00355E05">
      <w:headerReference w:type="even" r:id="rId6"/>
      <w:footerReference w:type="even" r:id="rId7"/>
      <w:footerReference w:type="default" r:id="rId8"/>
      <w:type w:val="continuous"/>
      <w:pgSz w:w="11907" w:h="16840" w:code="9"/>
      <w:pgMar w:top="1134" w:right="1134" w:bottom="1134" w:left="1134" w:header="567" w:footer="680" w:gutter="0"/>
      <w:pgNumType w:start="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3BC" w:rsidRDefault="00DE73BC">
      <w:r>
        <w:separator/>
      </w:r>
    </w:p>
  </w:endnote>
  <w:endnote w:type="continuationSeparator" w:id="0">
    <w:p w:rsidR="00DE73BC" w:rsidRDefault="00DE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single" w:sz="12" w:space="0" w:color="auto"/>
      </w:tblBorders>
      <w:tblLook w:val="0000" w:firstRow="0" w:lastRow="0" w:firstColumn="0" w:lastColumn="0" w:noHBand="0" w:noVBand="0"/>
    </w:tblPr>
    <w:tblGrid>
      <w:gridCol w:w="5739"/>
      <w:gridCol w:w="3900"/>
    </w:tblGrid>
    <w:tr w:rsidR="00937C41" w:rsidRPr="00325C71" w:rsidTr="00500CAF">
      <w:trPr>
        <w:jc w:val="center"/>
      </w:trPr>
      <w:tc>
        <w:tcPr>
          <w:tcW w:w="2977" w:type="pct"/>
        </w:tcPr>
        <w:p w:rsidR="00937C41" w:rsidRDefault="00937C41" w:rsidP="009A0655">
          <w:pPr>
            <w:pStyle w:val="a4"/>
            <w:spacing w:line="216" w:lineRule="auto"/>
            <w:ind w:right="360"/>
            <w:rPr>
              <w:rFonts w:ascii="Arial" w:hAnsi="Arial"/>
              <w:b/>
            </w:rPr>
          </w:pPr>
          <w:r w:rsidRPr="006B789D">
            <w:rPr>
              <w:rFonts w:ascii="Arial" w:hAnsi="Arial"/>
            </w:rPr>
            <w:t xml:space="preserve">Наукова та інноваційна діяльність </w:t>
          </w:r>
          <w:r w:rsidR="007C3249">
            <w:rPr>
              <w:rFonts w:ascii="Arial" w:hAnsi="Arial"/>
            </w:rPr>
            <w:t>України,</w:t>
          </w:r>
          <w:r w:rsidRPr="006B789D">
            <w:rPr>
              <w:rFonts w:ascii="Arial" w:hAnsi="Arial"/>
            </w:rPr>
            <w:t xml:space="preserve"> 20</w:t>
          </w:r>
          <w:r w:rsidRPr="00BD0D6B">
            <w:rPr>
              <w:rFonts w:ascii="Arial" w:hAnsi="Arial"/>
              <w:lang w:val="ru-RU"/>
            </w:rPr>
            <w:t>1</w:t>
          </w:r>
          <w:r w:rsidR="009A0655">
            <w:rPr>
              <w:rFonts w:ascii="Arial" w:hAnsi="Arial"/>
              <w:lang w:val="ru-RU"/>
            </w:rPr>
            <w:t>7</w:t>
          </w:r>
          <w:r w:rsidRPr="006B789D">
            <w:rPr>
              <w:rFonts w:ascii="Arial" w:hAnsi="Arial"/>
            </w:rPr>
            <w:t xml:space="preserve"> </w:t>
          </w:r>
          <w:r w:rsidR="007C3249">
            <w:rPr>
              <w:rFonts w:ascii="Arial" w:hAnsi="Arial"/>
            </w:rPr>
            <w:t>рік</w:t>
          </w:r>
          <w:r w:rsidRPr="006B789D">
            <w:rPr>
              <w:rFonts w:ascii="Arial" w:hAnsi="Arial"/>
            </w:rPr>
            <w:t xml:space="preserve"> Державн</w:t>
          </w:r>
          <w:r>
            <w:rPr>
              <w:rFonts w:ascii="Arial" w:hAnsi="Arial"/>
            </w:rPr>
            <w:t>а</w:t>
          </w:r>
          <w:r w:rsidRPr="006B789D">
            <w:rPr>
              <w:rFonts w:ascii="Arial" w:hAnsi="Arial"/>
            </w:rPr>
            <w:t xml:space="preserve"> </w:t>
          </w:r>
          <w:r>
            <w:rPr>
              <w:rFonts w:ascii="Arial" w:hAnsi="Arial"/>
            </w:rPr>
            <w:t>служба</w:t>
          </w:r>
          <w:r w:rsidRPr="006B789D">
            <w:rPr>
              <w:rFonts w:ascii="Arial" w:hAnsi="Arial"/>
            </w:rPr>
            <w:t xml:space="preserve"> статистики України</w:t>
          </w:r>
        </w:p>
      </w:tc>
      <w:tc>
        <w:tcPr>
          <w:tcW w:w="2023" w:type="pct"/>
        </w:tcPr>
        <w:p w:rsidR="00355E05" w:rsidRPr="007A1A80" w:rsidRDefault="007A1A80" w:rsidP="00355E05">
          <w:pPr>
            <w:pStyle w:val="a4"/>
            <w:spacing w:line="216" w:lineRule="auto"/>
            <w:ind w:left="-57" w:right="-57"/>
            <w:jc w:val="right"/>
            <w:rPr>
              <w:rFonts w:ascii="Arial" w:hAnsi="Arial" w:cs="Arial"/>
              <w:sz w:val="28"/>
              <w:szCs w:val="28"/>
            </w:rPr>
          </w:pPr>
          <w:r>
            <w:rPr>
              <w:rFonts w:ascii="Arial" w:hAnsi="Arial" w:cs="Arial"/>
              <w:sz w:val="28"/>
              <w:szCs w:val="28"/>
            </w:rPr>
            <w:t>3</w:t>
          </w:r>
        </w:p>
      </w:tc>
    </w:tr>
  </w:tbl>
  <w:p w:rsidR="00937C41" w:rsidRDefault="00937C41">
    <w:pPr>
      <w:pStyle w:val="a4"/>
      <w:ind w:right="360" w:firstLine="360"/>
      <w:rPr>
        <w:rFonts w:ascii="Times New Roman CYR" w:hAnsi="Times New Roman CY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41" w:rsidRDefault="00937C41" w:rsidP="005D450D">
    <w:pPr>
      <w:pStyle w:val="a4"/>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3BC" w:rsidRDefault="00DE73BC">
      <w:r>
        <w:separator/>
      </w:r>
    </w:p>
  </w:footnote>
  <w:footnote w:type="continuationSeparator" w:id="0">
    <w:p w:rsidR="00DE73BC" w:rsidRDefault="00DE7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12" w:space="0" w:color="auto"/>
      </w:tblBorders>
      <w:tblLook w:val="0000" w:firstRow="0" w:lastRow="0" w:firstColumn="0" w:lastColumn="0" w:noHBand="0" w:noVBand="0"/>
    </w:tblPr>
    <w:tblGrid>
      <w:gridCol w:w="1419"/>
      <w:gridCol w:w="8220"/>
    </w:tblGrid>
    <w:tr w:rsidR="00937C41" w:rsidRPr="00072658">
      <w:trPr>
        <w:jc w:val="center"/>
      </w:trPr>
      <w:tc>
        <w:tcPr>
          <w:tcW w:w="736" w:type="pct"/>
          <w:vAlign w:val="center"/>
        </w:tcPr>
        <w:p w:rsidR="00937C41" w:rsidRPr="003D6CD6" w:rsidRDefault="00937C41">
          <w:pPr>
            <w:pStyle w:val="a4"/>
            <w:spacing w:line="216" w:lineRule="auto"/>
            <w:ind w:left="-57" w:right="-57"/>
            <w:rPr>
              <w:rFonts w:ascii="Arial" w:hAnsi="Arial"/>
              <w:caps/>
            </w:rPr>
          </w:pPr>
        </w:p>
      </w:tc>
      <w:tc>
        <w:tcPr>
          <w:tcW w:w="4264" w:type="pct"/>
          <w:vAlign w:val="center"/>
        </w:tcPr>
        <w:p w:rsidR="00937C41" w:rsidRPr="00072658" w:rsidRDefault="00937C41" w:rsidP="00325C71">
          <w:pPr>
            <w:pStyle w:val="a3"/>
            <w:spacing w:line="216" w:lineRule="auto"/>
            <w:ind w:left="-113"/>
            <w:jc w:val="right"/>
            <w:rPr>
              <w:rFonts w:ascii="Arial" w:hAnsi="Arial"/>
            </w:rPr>
          </w:pPr>
          <w:r>
            <w:rPr>
              <w:sz w:val="28"/>
            </w:rPr>
            <w:sym w:font="Wingdings" w:char="F0D8"/>
          </w:r>
          <w:r w:rsidRPr="003D6CD6">
            <w:rPr>
              <w:rFonts w:ascii="Arial" w:hAnsi="Arial"/>
              <w:caps/>
            </w:rPr>
            <w:t>Передмова</w:t>
          </w:r>
        </w:p>
      </w:tc>
    </w:tr>
  </w:tbl>
  <w:p w:rsidR="00937C41" w:rsidRDefault="00937C4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BF8"/>
    <w:rsid w:val="00045507"/>
    <w:rsid w:val="0006278B"/>
    <w:rsid w:val="00062D0F"/>
    <w:rsid w:val="00072658"/>
    <w:rsid w:val="00083A3A"/>
    <w:rsid w:val="0008667A"/>
    <w:rsid w:val="000A29DF"/>
    <w:rsid w:val="000E29E5"/>
    <w:rsid w:val="000F63AB"/>
    <w:rsid w:val="00111B03"/>
    <w:rsid w:val="00112DB2"/>
    <w:rsid w:val="001145F5"/>
    <w:rsid w:val="00135AE6"/>
    <w:rsid w:val="001A0E35"/>
    <w:rsid w:val="00201C3E"/>
    <w:rsid w:val="002134B7"/>
    <w:rsid w:val="00216E02"/>
    <w:rsid w:val="00274760"/>
    <w:rsid w:val="00275874"/>
    <w:rsid w:val="00290B50"/>
    <w:rsid w:val="002D5CCC"/>
    <w:rsid w:val="002E0BF8"/>
    <w:rsid w:val="00306852"/>
    <w:rsid w:val="00325C71"/>
    <w:rsid w:val="00355E05"/>
    <w:rsid w:val="003709AE"/>
    <w:rsid w:val="00371016"/>
    <w:rsid w:val="00384ED1"/>
    <w:rsid w:val="00390C80"/>
    <w:rsid w:val="00395C1E"/>
    <w:rsid w:val="003B4B3B"/>
    <w:rsid w:val="003B7886"/>
    <w:rsid w:val="003C731E"/>
    <w:rsid w:val="003D19DF"/>
    <w:rsid w:val="003D6CD6"/>
    <w:rsid w:val="004226FC"/>
    <w:rsid w:val="004251F3"/>
    <w:rsid w:val="0042738C"/>
    <w:rsid w:val="00427A6E"/>
    <w:rsid w:val="004511A0"/>
    <w:rsid w:val="00451684"/>
    <w:rsid w:val="004569E8"/>
    <w:rsid w:val="00462BF6"/>
    <w:rsid w:val="004970FB"/>
    <w:rsid w:val="004F674F"/>
    <w:rsid w:val="00500CAF"/>
    <w:rsid w:val="00502DD2"/>
    <w:rsid w:val="005363E5"/>
    <w:rsid w:val="00567CF6"/>
    <w:rsid w:val="00582B7F"/>
    <w:rsid w:val="005841D6"/>
    <w:rsid w:val="00585825"/>
    <w:rsid w:val="005A5865"/>
    <w:rsid w:val="005B14BD"/>
    <w:rsid w:val="005D450D"/>
    <w:rsid w:val="005D5666"/>
    <w:rsid w:val="006004FE"/>
    <w:rsid w:val="006236BC"/>
    <w:rsid w:val="006415A3"/>
    <w:rsid w:val="00644555"/>
    <w:rsid w:val="006E003A"/>
    <w:rsid w:val="007215CC"/>
    <w:rsid w:val="0074498A"/>
    <w:rsid w:val="0076324B"/>
    <w:rsid w:val="007A1A80"/>
    <w:rsid w:val="007B76F1"/>
    <w:rsid w:val="007C3249"/>
    <w:rsid w:val="007D71ED"/>
    <w:rsid w:val="007E171B"/>
    <w:rsid w:val="00824BC9"/>
    <w:rsid w:val="00876801"/>
    <w:rsid w:val="00891C14"/>
    <w:rsid w:val="008B78E0"/>
    <w:rsid w:val="00914CF7"/>
    <w:rsid w:val="00937C41"/>
    <w:rsid w:val="009445E6"/>
    <w:rsid w:val="009A0655"/>
    <w:rsid w:val="00A34C5C"/>
    <w:rsid w:val="00A40322"/>
    <w:rsid w:val="00A44C89"/>
    <w:rsid w:val="00A53798"/>
    <w:rsid w:val="00A54E4A"/>
    <w:rsid w:val="00A56D1C"/>
    <w:rsid w:val="00A734FC"/>
    <w:rsid w:val="00A74E73"/>
    <w:rsid w:val="00A81840"/>
    <w:rsid w:val="00A94665"/>
    <w:rsid w:val="00AE5E60"/>
    <w:rsid w:val="00B0718E"/>
    <w:rsid w:val="00B72DB9"/>
    <w:rsid w:val="00B93DDF"/>
    <w:rsid w:val="00BA3B6E"/>
    <w:rsid w:val="00BD0D6B"/>
    <w:rsid w:val="00C67AE6"/>
    <w:rsid w:val="00C73DC6"/>
    <w:rsid w:val="00C80C8F"/>
    <w:rsid w:val="00C97F4A"/>
    <w:rsid w:val="00CA34CF"/>
    <w:rsid w:val="00CB7AF9"/>
    <w:rsid w:val="00D0159E"/>
    <w:rsid w:val="00D1374E"/>
    <w:rsid w:val="00D13872"/>
    <w:rsid w:val="00D4410D"/>
    <w:rsid w:val="00D50811"/>
    <w:rsid w:val="00D600FC"/>
    <w:rsid w:val="00D9439F"/>
    <w:rsid w:val="00DA6E6E"/>
    <w:rsid w:val="00DB3325"/>
    <w:rsid w:val="00DB5879"/>
    <w:rsid w:val="00DE0F29"/>
    <w:rsid w:val="00DE5E8C"/>
    <w:rsid w:val="00DE73BC"/>
    <w:rsid w:val="00DF5961"/>
    <w:rsid w:val="00E224EC"/>
    <w:rsid w:val="00E3094C"/>
    <w:rsid w:val="00E544CC"/>
    <w:rsid w:val="00E6132F"/>
    <w:rsid w:val="00EA24BF"/>
    <w:rsid w:val="00EF5B7D"/>
    <w:rsid w:val="00F275D4"/>
    <w:rsid w:val="00F468BF"/>
    <w:rsid w:val="00F72036"/>
    <w:rsid w:val="00F86FD3"/>
    <w:rsid w:val="00FA08D8"/>
    <w:rsid w:val="00FB3569"/>
    <w:rsid w:val="00FC12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964B393-814E-4303-9BF4-792C72A8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Title"/>
    <w:basedOn w:val="a"/>
    <w:qFormat/>
    <w:pPr>
      <w:ind w:right="50"/>
      <w:jc w:val="center"/>
    </w:pPr>
    <w:rPr>
      <w:rFonts w:ascii="Garamond" w:hAnsi="Garamond"/>
      <w:b/>
      <w:i/>
      <w:sz w:val="32"/>
    </w:rPr>
  </w:style>
  <w:style w:type="paragraph" w:styleId="a7">
    <w:name w:val="Body Text Indent"/>
    <w:basedOn w:val="a"/>
    <w:pPr>
      <w:ind w:firstLine="720"/>
      <w:jc w:val="both"/>
    </w:pPr>
    <w:rPr>
      <w:rFonts w:ascii="Arial" w:hAnsi="Arial"/>
      <w:sz w:val="26"/>
    </w:rPr>
  </w:style>
  <w:style w:type="paragraph" w:styleId="a8">
    <w:name w:val="Body Text"/>
    <w:basedOn w:val="a"/>
    <w:pPr>
      <w:jc w:val="both"/>
    </w:pPr>
    <w:rPr>
      <w:rFonts w:ascii="Arial" w:hAnsi="Arial"/>
      <w:sz w:val="28"/>
    </w:rPr>
  </w:style>
  <w:style w:type="paragraph" w:styleId="3">
    <w:name w:val="Body Text Indent 3"/>
    <w:basedOn w:val="a"/>
    <w:rsid w:val="00072658"/>
    <w:pPr>
      <w:spacing w:after="120"/>
      <w:ind w:left="283"/>
    </w:pPr>
    <w:rPr>
      <w:sz w:val="16"/>
      <w:szCs w:val="16"/>
    </w:rPr>
  </w:style>
  <w:style w:type="paragraph" w:styleId="a9">
    <w:name w:val="Balloon Text"/>
    <w:basedOn w:val="a"/>
    <w:semiHidden/>
    <w:rsid w:val="00072658"/>
    <w:rPr>
      <w:rFonts w:ascii="Tahoma" w:hAnsi="Tahoma" w:cs="Tahoma"/>
      <w:sz w:val="16"/>
      <w:szCs w:val="16"/>
    </w:rPr>
  </w:style>
  <w:style w:type="character" w:styleId="aa">
    <w:name w:val="line number"/>
    <w:basedOn w:val="a0"/>
    <w:rsid w:val="00325C71"/>
  </w:style>
  <w:style w:type="paragraph" w:customStyle="1" w:styleId="ab">
    <w:name w:val="Знак"/>
    <w:basedOn w:val="a"/>
    <w:rsid w:val="00BD0D6B"/>
    <w:rPr>
      <w:rFonts w:ascii="Verdana" w:hAnsi="Verdana" w:cs="Verdana"/>
      <w:lang w:val="en-US" w:eastAsia="en-US"/>
    </w:rPr>
  </w:style>
  <w:style w:type="table" w:styleId="ac">
    <w:name w:val="Table Grid"/>
    <w:basedOn w:val="a1"/>
    <w:rsid w:val="00536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2056</Words>
  <Characters>1173</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Передмова</vt:lpstr>
      <vt:lpstr>Передмова</vt:lpstr>
    </vt:vector>
  </TitlesOfParts>
  <Company>Minstat</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Передмова</dc:title>
  <dc:subject/>
  <dc:creator>Александр</dc:creator>
  <cp:keywords/>
  <dc:description/>
  <cp:lastModifiedBy>O.Kislenko</cp:lastModifiedBy>
  <cp:revision>8</cp:revision>
  <cp:lastPrinted>2014-09-04T06:40:00Z</cp:lastPrinted>
  <dcterms:created xsi:type="dcterms:W3CDTF">2017-08-09T10:52:00Z</dcterms:created>
  <dcterms:modified xsi:type="dcterms:W3CDTF">2018-09-25T14:22:00Z</dcterms:modified>
</cp:coreProperties>
</file>