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371" w:rsidRPr="00F25550" w:rsidRDefault="00487371" w:rsidP="00487371">
      <w:pPr>
        <w:suppressAutoHyphens/>
        <w:jc w:val="center"/>
        <w:rPr>
          <w:b/>
          <w:sz w:val="26"/>
          <w:szCs w:val="26"/>
        </w:rPr>
      </w:pPr>
      <w:r w:rsidRPr="00F25550">
        <w:rPr>
          <w:b/>
          <w:sz w:val="26"/>
          <w:szCs w:val="26"/>
        </w:rPr>
        <w:t>Окремі методичні пояснення</w:t>
      </w:r>
    </w:p>
    <w:p w:rsidR="00487371" w:rsidRPr="00F25550" w:rsidRDefault="00487371" w:rsidP="00487371">
      <w:pPr>
        <w:suppressAutoHyphens/>
        <w:ind w:left="720" w:hanging="720"/>
        <w:jc w:val="both"/>
        <w:rPr>
          <w:b/>
          <w:sz w:val="26"/>
          <w:szCs w:val="26"/>
        </w:rPr>
      </w:pPr>
    </w:p>
    <w:p w:rsidR="00487371" w:rsidRPr="00F25550" w:rsidRDefault="00487371" w:rsidP="00487371">
      <w:pPr>
        <w:pStyle w:val="21"/>
        <w:widowControl/>
        <w:suppressAutoHyphens/>
        <w:rPr>
          <w:sz w:val="26"/>
          <w:szCs w:val="26"/>
          <w:lang w:val="ru-RU"/>
        </w:rPr>
      </w:pPr>
      <w:r w:rsidRPr="00F25550">
        <w:rPr>
          <w:sz w:val="26"/>
          <w:szCs w:val="26"/>
        </w:rPr>
        <w:t>Починаючи з 2002р.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w:t>
      </w:r>
      <w:proofErr w:type="spellStart"/>
      <w:r w:rsidRPr="00F25550">
        <w:rPr>
          <w:sz w:val="26"/>
          <w:szCs w:val="26"/>
        </w:rPr>
        <w:t>COICOP</w:t>
      </w:r>
      <w:proofErr w:type="spellEnd"/>
      <w:r w:rsidRPr="00F25550">
        <w:rPr>
          <w:sz w:val="26"/>
          <w:szCs w:val="26"/>
        </w:rPr>
        <w:t>–</w:t>
      </w:r>
      <w:proofErr w:type="spellStart"/>
      <w:r w:rsidRPr="00F25550">
        <w:rPr>
          <w:sz w:val="26"/>
          <w:szCs w:val="26"/>
        </w:rPr>
        <w:t>HBS</w:t>
      </w:r>
      <w:proofErr w:type="spellEnd"/>
      <w:r w:rsidRPr="00F25550">
        <w:rPr>
          <w:sz w:val="26"/>
          <w:szCs w:val="26"/>
        </w:rPr>
        <w:t xml:space="preserve"> (1997)), рекомендованої Євростатом</w:t>
      </w:r>
      <w:r w:rsidRPr="00F25550">
        <w:rPr>
          <w:sz w:val="26"/>
          <w:szCs w:val="26"/>
          <w:vertAlign w:val="superscript"/>
        </w:rPr>
        <w:footnoteReference w:id="1"/>
        <w:t>1</w:t>
      </w:r>
      <w:r w:rsidRPr="00F25550">
        <w:rPr>
          <w:sz w:val="26"/>
          <w:szCs w:val="26"/>
        </w:rPr>
        <w:t xml:space="preserve">. Згадана класифікація застосовується для розрахунків макроекономічних показників щодо сектору домашніх господарств та для розрахунку </w:t>
      </w:r>
      <w:proofErr w:type="spellStart"/>
      <w:r w:rsidRPr="00F25550">
        <w:rPr>
          <w:sz w:val="26"/>
          <w:szCs w:val="26"/>
        </w:rPr>
        <w:t>ІСЦ</w:t>
      </w:r>
      <w:proofErr w:type="spellEnd"/>
      <w:r w:rsidRPr="00F25550">
        <w:rPr>
          <w:sz w:val="26"/>
          <w:szCs w:val="26"/>
        </w:rPr>
        <w:t xml:space="preserve"> (індексу споживчих цін). </w:t>
      </w:r>
    </w:p>
    <w:p w:rsidR="00487371" w:rsidRPr="00F25550" w:rsidRDefault="00487371" w:rsidP="00487371">
      <w:pPr>
        <w:ind w:firstLine="540"/>
        <w:jc w:val="both"/>
        <w:rPr>
          <w:sz w:val="26"/>
          <w:szCs w:val="26"/>
        </w:rPr>
      </w:pPr>
      <w:r w:rsidRPr="00F25550">
        <w:rPr>
          <w:sz w:val="26"/>
          <w:szCs w:val="26"/>
        </w:rPr>
        <w:t>Починаючи з даних за 2007р., відповідно до Класифікації індивідуального споживання за цілями</w:t>
      </w:r>
      <w:r w:rsidR="00031DC1">
        <w:rPr>
          <w:sz w:val="26"/>
          <w:szCs w:val="26"/>
          <w:vertAlign w:val="superscript"/>
        </w:rPr>
        <w:t>2</w:t>
      </w:r>
      <w:r w:rsidRPr="00F25550">
        <w:rPr>
          <w:sz w:val="26"/>
          <w:szCs w:val="26"/>
        </w:rPr>
        <w:t xml:space="preserve">, затвердженої наказом Держкомстату України від </w:t>
      </w:r>
      <w:r w:rsidRPr="00F25550">
        <w:rPr>
          <w:sz w:val="26"/>
          <w:szCs w:val="26"/>
        </w:rPr>
        <w:br/>
        <w:t xml:space="preserve">29 грудня 2007р. № 480, до структури споживчих витрат були внесені такі зміни: витрати домогосподарств на послуги дошкільних закладів включені до групи “Дошкільна та початкова освіта” розділу “Освіта”; витрати на путівки в будинки відпочинку, на бази відпочинку, дитячі табори тощо – до розділу “Ресторани та готелі”, а саме до групи витрат на оплату послуг, пов’язаних з тимчасовим проживанням. У попередніх публікаціях зазначені витрати були включені відповідно до розділів “Різні товари та послуги” та “Відпочинок та культура”. Відповідно пільги на оплату путівок в будинки відпочинку, на бази відпочинку, в дитячі табори тощо, які враховуються у складі сукупних витрат домогосподарств, також включені до розділу “Ресторани та готелі”. </w:t>
      </w:r>
    </w:p>
    <w:p w:rsidR="00487371" w:rsidRPr="00F25550" w:rsidRDefault="00487371" w:rsidP="00487371">
      <w:pPr>
        <w:pStyle w:val="3"/>
        <w:rPr>
          <w:sz w:val="26"/>
          <w:szCs w:val="26"/>
        </w:rPr>
      </w:pPr>
      <w:r w:rsidRPr="00F25550">
        <w:rPr>
          <w:b/>
          <w:sz w:val="26"/>
          <w:szCs w:val="26"/>
        </w:rPr>
        <w:t>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w:t>
      </w:r>
      <w:r w:rsidRPr="00F25550">
        <w:rPr>
          <w:sz w:val="26"/>
          <w:szCs w:val="26"/>
        </w:rPr>
        <w:t xml:space="preserve">, яка відображає зменшення мінімально необхідних потреб на одного члена домогосподарства при збільшенні розміру домогосподарства та зміні його складу.  </w:t>
      </w:r>
    </w:p>
    <w:p w:rsidR="00487371" w:rsidRPr="00F25550" w:rsidRDefault="00487371" w:rsidP="00487371">
      <w:pPr>
        <w:pStyle w:val="3"/>
        <w:rPr>
          <w:sz w:val="26"/>
          <w:szCs w:val="26"/>
        </w:rPr>
      </w:pPr>
      <w:r w:rsidRPr="00F25550">
        <w:rPr>
          <w:sz w:val="26"/>
          <w:szCs w:val="26"/>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487371" w:rsidRPr="00F25550" w:rsidRDefault="00487371" w:rsidP="00487371">
      <w:pPr>
        <w:ind w:firstLine="540"/>
        <w:jc w:val="both"/>
        <w:rPr>
          <w:sz w:val="26"/>
          <w:szCs w:val="26"/>
        </w:rPr>
      </w:pPr>
      <w:r w:rsidRPr="00F25550">
        <w:rPr>
          <w:sz w:val="26"/>
          <w:szCs w:val="26"/>
        </w:rPr>
        <w:t xml:space="preserve">Робити співставлення з показниками попередніх років слід з урахуванням вищезазначеного та рекомендацій, наведених у частині </w:t>
      </w:r>
      <w:r w:rsidRPr="00F25550">
        <w:rPr>
          <w:sz w:val="26"/>
          <w:szCs w:val="26"/>
          <w:lang w:val="en-US"/>
        </w:rPr>
        <w:t>I</w:t>
      </w:r>
      <w:r w:rsidRPr="00F25550">
        <w:rPr>
          <w:sz w:val="26"/>
          <w:szCs w:val="26"/>
        </w:rPr>
        <w:t xml:space="preserve"> публікації за результатами обстеження у 2016 році в розділі методологічних пояснень.</w:t>
      </w:r>
    </w:p>
    <w:p w:rsidR="00487371" w:rsidRPr="00F25550" w:rsidRDefault="00487371" w:rsidP="00487371">
      <w:pPr>
        <w:suppressAutoHyphens/>
        <w:ind w:left="720" w:hanging="720"/>
        <w:jc w:val="both"/>
        <w:rPr>
          <w:b/>
          <w:sz w:val="26"/>
          <w:szCs w:val="26"/>
        </w:rPr>
      </w:pPr>
    </w:p>
    <w:p w:rsidR="00487371" w:rsidRPr="00F25550" w:rsidRDefault="00487371" w:rsidP="00487371">
      <w:pPr>
        <w:suppressAutoHyphens/>
        <w:ind w:left="720" w:hanging="720"/>
        <w:jc w:val="both"/>
        <w:rPr>
          <w:sz w:val="26"/>
          <w:szCs w:val="26"/>
        </w:rPr>
      </w:pPr>
      <w:r w:rsidRPr="00F25550">
        <w:rPr>
          <w:b/>
          <w:sz w:val="26"/>
          <w:szCs w:val="26"/>
        </w:rPr>
        <w:t>Звертаємо увагу користувачів інформацією</w:t>
      </w:r>
      <w:r w:rsidRPr="00F25550">
        <w:rPr>
          <w:sz w:val="26"/>
          <w:szCs w:val="26"/>
        </w:rPr>
        <w:t>, що для зручності користування даними обстеження, а також для забезпечення можливості проведення поглибленого аналізу життєвого рівня населення, в таблицях, які характеризують витрати і доходи окремих типологічних груп домогосподарств, введені довідкові рядки:</w:t>
      </w:r>
    </w:p>
    <w:p w:rsidR="00487371" w:rsidRPr="00F25550" w:rsidRDefault="00487371" w:rsidP="00487371">
      <w:pPr>
        <w:suppressAutoHyphens/>
        <w:ind w:left="907"/>
        <w:jc w:val="both"/>
        <w:rPr>
          <w:sz w:val="26"/>
          <w:szCs w:val="26"/>
        </w:rPr>
      </w:pPr>
      <w:r w:rsidRPr="00F25550">
        <w:rPr>
          <w:sz w:val="26"/>
          <w:szCs w:val="26"/>
        </w:rPr>
        <w:t>“кількість домогосподарств (тисяч)” – вміщують розповсюджену на генеральну сукупність кількість домогосподарств відповідної групи</w:t>
      </w:r>
      <w:r w:rsidRPr="00F25550">
        <w:rPr>
          <w:sz w:val="26"/>
          <w:szCs w:val="26"/>
          <w:lang w:val="ru-RU"/>
        </w:rPr>
        <w:t>;</w:t>
      </w:r>
    </w:p>
    <w:p w:rsidR="00487371" w:rsidRPr="00F25550" w:rsidRDefault="00487371" w:rsidP="00487371">
      <w:pPr>
        <w:suppressAutoHyphens/>
        <w:ind w:left="907"/>
        <w:jc w:val="both"/>
        <w:rPr>
          <w:sz w:val="26"/>
          <w:szCs w:val="26"/>
        </w:rPr>
      </w:pPr>
      <w:r w:rsidRPr="00F25550">
        <w:rPr>
          <w:sz w:val="26"/>
          <w:szCs w:val="26"/>
        </w:rPr>
        <w:lastRenderedPageBreak/>
        <w:t>“середній еквівалентний розмір домогосподарства (осіб)” – висвітлюють кількісний склад усередненого домогосподарства відповідної групи.</w:t>
      </w:r>
    </w:p>
    <w:p w:rsidR="00487371" w:rsidRPr="00F25550" w:rsidRDefault="00487371" w:rsidP="00487371">
      <w:pPr>
        <w:suppressAutoHyphens/>
        <w:ind w:left="680"/>
        <w:jc w:val="both"/>
        <w:rPr>
          <w:b/>
          <w:sz w:val="26"/>
          <w:szCs w:val="26"/>
          <w:u w:val="single"/>
          <w:lang w:val="ru-RU"/>
        </w:rPr>
      </w:pPr>
      <w:r w:rsidRPr="00F25550">
        <w:rPr>
          <w:b/>
          <w:sz w:val="26"/>
          <w:szCs w:val="26"/>
        </w:rPr>
        <w:t xml:space="preserve">Останній показник дає можливість отримання даних </w:t>
      </w:r>
      <w:r w:rsidRPr="00F25550">
        <w:rPr>
          <w:b/>
          <w:sz w:val="26"/>
          <w:szCs w:val="26"/>
          <w:u w:val="single"/>
        </w:rPr>
        <w:t>у розрахунку на одну умовну особу.</w:t>
      </w:r>
      <w:r w:rsidRPr="00F25550">
        <w:rPr>
          <w:sz w:val="26"/>
          <w:szCs w:val="26"/>
        </w:rPr>
        <w:t xml:space="preserve"> При розрахунку середнього еквівалентного розміру домогосподарства використано еквівалентну шкалу, за якої першому члену домогосподарства присвоюється коефіцієнт 1, а всім іншим – 0,7.</w:t>
      </w:r>
    </w:p>
    <w:p w:rsidR="00487371" w:rsidRPr="00F25550" w:rsidRDefault="00487371" w:rsidP="00487371">
      <w:pPr>
        <w:suppressAutoHyphens/>
        <w:ind w:firstLine="709"/>
        <w:jc w:val="both"/>
        <w:rPr>
          <w:sz w:val="26"/>
          <w:szCs w:val="26"/>
        </w:rPr>
      </w:pPr>
      <w:r w:rsidRPr="00F25550">
        <w:rPr>
          <w:sz w:val="26"/>
          <w:szCs w:val="26"/>
        </w:rPr>
        <w:t xml:space="preserve">Методологічні пояснення щодо оцінки якості даних вибіркового обстеження, а також результати відповідних розрахунків наведені в частині І публікації за 2016 рік. Підсумки цього аналізу свідчать, що отримані оцінки зведених показників щодо витрат і доходів домогосподарств є точними для рівня України, достатньо точними – для великих, малих міст та сільської місцевості на рівні України. Для регіонального рівня в цілому точність оцінок показників є задовільною. </w:t>
      </w:r>
    </w:p>
    <w:p w:rsidR="00487371" w:rsidRPr="00F25550" w:rsidRDefault="00487371" w:rsidP="00487371">
      <w:pPr>
        <w:pStyle w:val="3"/>
        <w:rPr>
          <w:sz w:val="26"/>
          <w:szCs w:val="26"/>
        </w:rPr>
      </w:pPr>
      <w:r w:rsidRPr="00F25550">
        <w:rPr>
          <w:sz w:val="26"/>
          <w:szCs w:val="26"/>
        </w:rPr>
        <w:t xml:space="preserve">За даними 2016 року для </w:t>
      </w:r>
      <w:r>
        <w:rPr>
          <w:sz w:val="26"/>
          <w:szCs w:val="26"/>
        </w:rPr>
        <w:t>Сумської</w:t>
      </w:r>
      <w:r w:rsidRPr="00F25550">
        <w:rPr>
          <w:sz w:val="26"/>
          <w:szCs w:val="26"/>
        </w:rPr>
        <w:t xml:space="preserve"> області були розраховані відносні стандартні похибки вибірки </w:t>
      </w:r>
      <w:proofErr w:type="spellStart"/>
      <w:r w:rsidRPr="00F25550">
        <w:rPr>
          <w:sz w:val="26"/>
          <w:szCs w:val="26"/>
        </w:rPr>
        <w:t>RSE</w:t>
      </w:r>
      <w:proofErr w:type="spellEnd"/>
      <w:r w:rsidRPr="00F25550">
        <w:rPr>
          <w:sz w:val="26"/>
          <w:szCs w:val="26"/>
        </w:rPr>
        <w:t xml:space="preserve"> (коефіцієнти варіації) для оцінок таких показників: </w:t>
      </w:r>
    </w:p>
    <w:p w:rsidR="00487371" w:rsidRPr="00F25550" w:rsidRDefault="00487371" w:rsidP="00487371">
      <w:pPr>
        <w:pStyle w:val="3"/>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0"/>
        <w:gridCol w:w="2918"/>
      </w:tblGrid>
      <w:tr w:rsidR="00487371" w:rsidRPr="00F25550" w:rsidTr="00E97F6C">
        <w:tc>
          <w:tcPr>
            <w:tcW w:w="6912" w:type="dxa"/>
            <w:shd w:val="clear" w:color="auto" w:fill="auto"/>
            <w:vAlign w:val="center"/>
          </w:tcPr>
          <w:p w:rsidR="00487371" w:rsidRPr="00F25550" w:rsidRDefault="00487371" w:rsidP="00E97F6C">
            <w:pPr>
              <w:pStyle w:val="3"/>
              <w:ind w:firstLine="0"/>
              <w:jc w:val="center"/>
              <w:rPr>
                <w:sz w:val="26"/>
                <w:szCs w:val="26"/>
              </w:rPr>
            </w:pPr>
            <w:r w:rsidRPr="00F25550">
              <w:rPr>
                <w:sz w:val="26"/>
                <w:szCs w:val="26"/>
              </w:rPr>
              <w:t>Показник</w:t>
            </w:r>
          </w:p>
        </w:tc>
        <w:tc>
          <w:tcPr>
            <w:tcW w:w="2978" w:type="dxa"/>
            <w:shd w:val="clear" w:color="auto" w:fill="auto"/>
          </w:tcPr>
          <w:p w:rsidR="00487371" w:rsidRPr="00F25550" w:rsidRDefault="00487371" w:rsidP="00E97F6C">
            <w:pPr>
              <w:pStyle w:val="3"/>
              <w:ind w:firstLine="0"/>
              <w:jc w:val="center"/>
              <w:rPr>
                <w:sz w:val="26"/>
                <w:szCs w:val="26"/>
              </w:rPr>
            </w:pPr>
            <w:r w:rsidRPr="00F25550">
              <w:rPr>
                <w:sz w:val="26"/>
                <w:szCs w:val="26"/>
              </w:rPr>
              <w:t>Відносна стандартна похибка вибірки</w:t>
            </w:r>
          </w:p>
          <w:p w:rsidR="00487371" w:rsidRPr="00F25550" w:rsidRDefault="00487371" w:rsidP="00E97F6C">
            <w:pPr>
              <w:pStyle w:val="3"/>
              <w:ind w:firstLine="0"/>
              <w:jc w:val="center"/>
              <w:rPr>
                <w:sz w:val="26"/>
                <w:szCs w:val="26"/>
              </w:rPr>
            </w:pPr>
            <w:proofErr w:type="spellStart"/>
            <w:r w:rsidRPr="00F25550">
              <w:rPr>
                <w:sz w:val="26"/>
                <w:szCs w:val="26"/>
              </w:rPr>
              <w:t>RSE</w:t>
            </w:r>
            <w:proofErr w:type="spellEnd"/>
            <w:r w:rsidRPr="00F25550">
              <w:rPr>
                <w:sz w:val="26"/>
                <w:szCs w:val="26"/>
              </w:rPr>
              <w:t>, %</w:t>
            </w:r>
          </w:p>
        </w:tc>
      </w:tr>
      <w:tr w:rsidR="00487371" w:rsidRPr="00F25550" w:rsidTr="00E97F6C">
        <w:tc>
          <w:tcPr>
            <w:tcW w:w="6912" w:type="dxa"/>
            <w:shd w:val="clear" w:color="auto" w:fill="auto"/>
          </w:tcPr>
          <w:p w:rsidR="00487371" w:rsidRPr="00F25550" w:rsidRDefault="00487371" w:rsidP="00E97F6C">
            <w:pPr>
              <w:pStyle w:val="3"/>
              <w:ind w:firstLine="0"/>
              <w:rPr>
                <w:sz w:val="26"/>
                <w:szCs w:val="26"/>
              </w:rPr>
            </w:pPr>
            <w:proofErr w:type="spellStart"/>
            <w:r w:rsidRPr="00F25550">
              <w:rPr>
                <w:sz w:val="26"/>
                <w:szCs w:val="26"/>
              </w:rPr>
              <w:t>децильний</w:t>
            </w:r>
            <w:proofErr w:type="spellEnd"/>
            <w:r w:rsidRPr="00F25550">
              <w:rPr>
                <w:sz w:val="26"/>
                <w:szCs w:val="26"/>
              </w:rPr>
              <w:t xml:space="preserve"> коефіцієнт диференціації загальних доходів населення</w:t>
            </w:r>
          </w:p>
        </w:tc>
        <w:tc>
          <w:tcPr>
            <w:tcW w:w="2978" w:type="dxa"/>
            <w:shd w:val="clear" w:color="auto" w:fill="auto"/>
          </w:tcPr>
          <w:p w:rsidR="00487371" w:rsidRPr="00F25550" w:rsidRDefault="00487371" w:rsidP="00E97F6C">
            <w:pPr>
              <w:pStyle w:val="3"/>
              <w:ind w:firstLine="0"/>
              <w:jc w:val="center"/>
              <w:rPr>
                <w:sz w:val="26"/>
                <w:szCs w:val="26"/>
              </w:rPr>
            </w:pPr>
            <w:r>
              <w:rPr>
                <w:sz w:val="26"/>
                <w:szCs w:val="26"/>
              </w:rPr>
              <w:t>3,03</w:t>
            </w:r>
          </w:p>
        </w:tc>
      </w:tr>
      <w:tr w:rsidR="00487371" w:rsidRPr="00F25550" w:rsidTr="00E97F6C">
        <w:tc>
          <w:tcPr>
            <w:tcW w:w="6912" w:type="dxa"/>
            <w:shd w:val="clear" w:color="auto" w:fill="auto"/>
          </w:tcPr>
          <w:p w:rsidR="00487371" w:rsidRPr="00F25550" w:rsidRDefault="00487371" w:rsidP="00E97F6C">
            <w:pPr>
              <w:pStyle w:val="3"/>
              <w:ind w:firstLine="0"/>
              <w:rPr>
                <w:sz w:val="26"/>
                <w:szCs w:val="26"/>
              </w:rPr>
            </w:pPr>
            <w:r w:rsidRPr="00F25550">
              <w:rPr>
                <w:sz w:val="26"/>
                <w:szCs w:val="26"/>
              </w:rPr>
              <w:t>індекс Джині</w:t>
            </w:r>
          </w:p>
        </w:tc>
        <w:tc>
          <w:tcPr>
            <w:tcW w:w="2978" w:type="dxa"/>
            <w:shd w:val="clear" w:color="auto" w:fill="auto"/>
          </w:tcPr>
          <w:p w:rsidR="00487371" w:rsidRPr="00F25550" w:rsidRDefault="00487371" w:rsidP="00E97F6C">
            <w:pPr>
              <w:pStyle w:val="3"/>
              <w:ind w:firstLine="0"/>
              <w:jc w:val="center"/>
              <w:rPr>
                <w:sz w:val="26"/>
                <w:szCs w:val="26"/>
              </w:rPr>
            </w:pPr>
            <w:r>
              <w:rPr>
                <w:sz w:val="26"/>
                <w:szCs w:val="26"/>
              </w:rPr>
              <w:t>147,94</w:t>
            </w:r>
          </w:p>
        </w:tc>
      </w:tr>
      <w:tr w:rsidR="00487371" w:rsidRPr="00F25550" w:rsidTr="00E97F6C">
        <w:tc>
          <w:tcPr>
            <w:tcW w:w="6912" w:type="dxa"/>
            <w:shd w:val="clear" w:color="auto" w:fill="auto"/>
          </w:tcPr>
          <w:p w:rsidR="00487371" w:rsidRPr="00F25550" w:rsidRDefault="00487371" w:rsidP="00E97F6C">
            <w:pPr>
              <w:pStyle w:val="3"/>
              <w:ind w:firstLine="0"/>
              <w:rPr>
                <w:sz w:val="26"/>
                <w:szCs w:val="26"/>
              </w:rPr>
            </w:pPr>
            <w:proofErr w:type="spellStart"/>
            <w:r w:rsidRPr="00F25550">
              <w:rPr>
                <w:sz w:val="26"/>
                <w:szCs w:val="26"/>
              </w:rPr>
              <w:t>децильний</w:t>
            </w:r>
            <w:proofErr w:type="spellEnd"/>
            <w:r w:rsidRPr="00F25550">
              <w:rPr>
                <w:sz w:val="26"/>
                <w:szCs w:val="26"/>
              </w:rPr>
              <w:t xml:space="preserve"> коефіцієнт фондів</w:t>
            </w:r>
          </w:p>
        </w:tc>
        <w:tc>
          <w:tcPr>
            <w:tcW w:w="2978" w:type="dxa"/>
            <w:shd w:val="clear" w:color="auto" w:fill="auto"/>
          </w:tcPr>
          <w:p w:rsidR="00487371" w:rsidRPr="00F25550" w:rsidRDefault="00487371" w:rsidP="00E97F6C">
            <w:pPr>
              <w:pStyle w:val="3"/>
              <w:ind w:firstLine="0"/>
              <w:jc w:val="center"/>
              <w:rPr>
                <w:sz w:val="26"/>
                <w:szCs w:val="26"/>
              </w:rPr>
            </w:pPr>
            <w:r>
              <w:rPr>
                <w:sz w:val="26"/>
                <w:szCs w:val="26"/>
              </w:rPr>
              <w:t>7,33</w:t>
            </w:r>
          </w:p>
        </w:tc>
      </w:tr>
    </w:tbl>
    <w:p w:rsidR="00487371" w:rsidRPr="00F25550" w:rsidRDefault="00487371" w:rsidP="00487371">
      <w:pPr>
        <w:pStyle w:val="3"/>
        <w:rPr>
          <w:sz w:val="26"/>
          <w:szCs w:val="26"/>
        </w:rPr>
      </w:pPr>
    </w:p>
    <w:p w:rsidR="00487371" w:rsidRPr="00F25550" w:rsidRDefault="00487371" w:rsidP="00487371">
      <w:pPr>
        <w:pStyle w:val="3"/>
        <w:rPr>
          <w:sz w:val="26"/>
          <w:szCs w:val="26"/>
        </w:rPr>
      </w:pPr>
      <w:r w:rsidRPr="00F25550">
        <w:rPr>
          <w:sz w:val="26"/>
          <w:szCs w:val="26"/>
        </w:rPr>
        <w:t>Як свідчать наведені дані, найбільш надійним є показник "</w:t>
      </w:r>
      <w:proofErr w:type="spellStart"/>
      <w:r w:rsidRPr="00F25550">
        <w:rPr>
          <w:sz w:val="26"/>
          <w:szCs w:val="26"/>
        </w:rPr>
        <w:t>Децильний</w:t>
      </w:r>
      <w:proofErr w:type="spellEnd"/>
      <w:r w:rsidRPr="00F25550">
        <w:rPr>
          <w:sz w:val="26"/>
          <w:szCs w:val="26"/>
        </w:rPr>
        <w:t xml:space="preserve"> коефіцієнт диференціації загальних доходів населення".</w:t>
      </w:r>
    </w:p>
    <w:p w:rsidR="00487371" w:rsidRPr="00F25550" w:rsidRDefault="00487371" w:rsidP="00487371">
      <w:pPr>
        <w:suppressAutoHyphens/>
        <w:ind w:firstLine="709"/>
        <w:jc w:val="both"/>
        <w:rPr>
          <w:sz w:val="26"/>
          <w:szCs w:val="26"/>
        </w:rPr>
      </w:pPr>
      <w:r w:rsidRPr="00F25550">
        <w:rPr>
          <w:sz w:val="26"/>
          <w:szCs w:val="26"/>
        </w:rPr>
        <w:t>Якщо аналіз якості оцінок регіональних показників свідчить про їх недостатню точність, слід брати до уваги наступну інформацію:</w:t>
      </w:r>
    </w:p>
    <w:p w:rsidR="00487371" w:rsidRPr="00F25550" w:rsidRDefault="00487371" w:rsidP="00487371">
      <w:pPr>
        <w:numPr>
          <w:ilvl w:val="0"/>
          <w:numId w:val="3"/>
        </w:numPr>
        <w:suppressAutoHyphens/>
        <w:jc w:val="both"/>
        <w:rPr>
          <w:sz w:val="26"/>
          <w:szCs w:val="26"/>
        </w:rPr>
      </w:pPr>
      <w:r w:rsidRPr="00F25550">
        <w:rPr>
          <w:sz w:val="26"/>
          <w:szCs w:val="26"/>
        </w:rPr>
        <w:t xml:space="preserve">дані вибіркового обстеження умов життя домогосподарств відповідного економічного району. Для отримання більш точних оцінок був застосований метод об’єднання “малих” територій (тобто територій, обсяг вибіркової сукупності по яких не дозволяє отримати надійні статистичні оцінки показників – для обстеження умов життя домогосподарств ця проблема стосується майже всіх регіонів) у “великі”. Після об’єднання для кожної “малої” території використовуються тільки більш надійні оцінки показників, отримані для відповідної “великої” території. При розробці матеріалів обстеження умов життя домогосподарств в якості “великих” територій були використані економічні райони (економічне районування розроблене Радою по вивченню продуктивних сил України </w:t>
      </w:r>
      <w:proofErr w:type="spellStart"/>
      <w:r w:rsidRPr="00F25550">
        <w:rPr>
          <w:sz w:val="26"/>
          <w:szCs w:val="26"/>
        </w:rPr>
        <w:t>НАН</w:t>
      </w:r>
      <w:proofErr w:type="spellEnd"/>
      <w:r w:rsidRPr="00F25550">
        <w:rPr>
          <w:sz w:val="26"/>
          <w:szCs w:val="26"/>
        </w:rPr>
        <w:t xml:space="preserve"> України для використання в програмі “Україна–2010”). Результати розрахунків, які наведені в частині І публікації за 2016 рік, свідчать, що оцінки середньомісячних значень зведених показників матеріального добробуту домогосподарств по економічних районах є більш точними, ніж для рівня регіонів;</w:t>
      </w:r>
    </w:p>
    <w:p w:rsidR="00487371" w:rsidRPr="00F25550" w:rsidRDefault="00487371" w:rsidP="00487371">
      <w:pPr>
        <w:numPr>
          <w:ilvl w:val="0"/>
          <w:numId w:val="4"/>
        </w:numPr>
        <w:suppressAutoHyphens/>
        <w:jc w:val="both"/>
        <w:rPr>
          <w:sz w:val="26"/>
          <w:szCs w:val="26"/>
        </w:rPr>
      </w:pPr>
      <w:r w:rsidRPr="00F25550">
        <w:rPr>
          <w:sz w:val="26"/>
          <w:szCs w:val="26"/>
        </w:rPr>
        <w:t xml:space="preserve">крім надання відомостей щодо граничної та відносної стандартної похибок вибірки для оцінок зведених показників, для уявлення користувачів інформацією щодо потенційної надійності даних вибіркового обстеження, особливо в розрізі окремих груп домогосподарств, </w:t>
      </w:r>
      <w:r w:rsidRPr="00F25550">
        <w:rPr>
          <w:sz w:val="26"/>
          <w:szCs w:val="26"/>
          <w:u w:val="single"/>
        </w:rPr>
        <w:t>таблиці даної публікації містять рядок: “Довідково: кількість обстежених домогосподарств”.</w:t>
      </w:r>
      <w:r w:rsidRPr="00F25550">
        <w:rPr>
          <w:sz w:val="26"/>
          <w:szCs w:val="26"/>
        </w:rPr>
        <w:t xml:space="preserve"> Загальновідомо, що зі збільшенням кількості обстежених домогосподарств надійність та точність отриманих оцінок показників підвищується.</w:t>
      </w:r>
    </w:p>
    <w:p w:rsidR="00487371" w:rsidRPr="00F25550" w:rsidRDefault="00487371" w:rsidP="00487371">
      <w:pPr>
        <w:suppressAutoHyphens/>
        <w:ind w:firstLine="720"/>
        <w:jc w:val="both"/>
        <w:rPr>
          <w:sz w:val="26"/>
          <w:szCs w:val="26"/>
        </w:rPr>
      </w:pPr>
      <w:r w:rsidRPr="00F25550">
        <w:rPr>
          <w:sz w:val="26"/>
          <w:szCs w:val="26"/>
          <w:u w:val="single"/>
        </w:rPr>
        <w:t>Якщо окрема позиція таблиці містить розповсюджені дані, отримані на підставі обстеження домогосподарств, кількість яких менша 30, рекомендуємо користуватися даними вищого ступеню агрегації, зокрема, по відповідному</w:t>
      </w:r>
      <w:r w:rsidRPr="00F25550">
        <w:rPr>
          <w:sz w:val="26"/>
          <w:szCs w:val="26"/>
        </w:rPr>
        <w:t xml:space="preserve"> </w:t>
      </w:r>
      <w:r w:rsidRPr="00F25550">
        <w:rPr>
          <w:sz w:val="26"/>
          <w:szCs w:val="26"/>
          <w:u w:val="single"/>
        </w:rPr>
        <w:t>економічному району</w:t>
      </w:r>
      <w:r w:rsidRPr="00F25550">
        <w:rPr>
          <w:sz w:val="26"/>
          <w:szCs w:val="26"/>
        </w:rPr>
        <w:t xml:space="preserve">. Наприклад, в таблиці ІІ.16 по </w:t>
      </w:r>
      <w:r>
        <w:rPr>
          <w:sz w:val="26"/>
          <w:szCs w:val="26"/>
        </w:rPr>
        <w:t>Сумській</w:t>
      </w:r>
      <w:r w:rsidRPr="00F25550">
        <w:rPr>
          <w:sz w:val="26"/>
          <w:szCs w:val="26"/>
        </w:rPr>
        <w:t xml:space="preserve"> області щодо грошових витрат домогосподарств в їх інтервальному розподілі за рівнем середньодушових еквівалентних грошових доходів в г</w:t>
      </w:r>
      <w:r>
        <w:rPr>
          <w:sz w:val="26"/>
          <w:szCs w:val="26"/>
        </w:rPr>
        <w:t xml:space="preserve">рупі </w:t>
      </w:r>
      <w:r w:rsidRPr="001D18FD">
        <w:rPr>
          <w:sz w:val="26"/>
          <w:szCs w:val="26"/>
        </w:rPr>
        <w:t xml:space="preserve">до 480 грн </w:t>
      </w:r>
      <w:r w:rsidRPr="00F25550">
        <w:rPr>
          <w:sz w:val="26"/>
          <w:szCs w:val="26"/>
        </w:rPr>
        <w:t xml:space="preserve">було обстежено лише </w:t>
      </w:r>
      <w:r>
        <w:rPr>
          <w:sz w:val="26"/>
          <w:szCs w:val="26"/>
        </w:rPr>
        <w:t>1</w:t>
      </w:r>
      <w:r w:rsidRPr="00F25550">
        <w:rPr>
          <w:sz w:val="26"/>
          <w:szCs w:val="26"/>
        </w:rPr>
        <w:t xml:space="preserve"> домогосподарств</w:t>
      </w:r>
      <w:r>
        <w:rPr>
          <w:sz w:val="26"/>
          <w:szCs w:val="26"/>
        </w:rPr>
        <w:t>о</w:t>
      </w:r>
      <w:r w:rsidRPr="00F25550">
        <w:rPr>
          <w:sz w:val="26"/>
          <w:szCs w:val="26"/>
        </w:rPr>
        <w:t xml:space="preserve">. У цьому випадку рекомендуємо користуватися інформацією щодо грошових витрат домогосподарств цієї ж групи інтервального розподілу, розрахованою для </w:t>
      </w:r>
      <w:r>
        <w:rPr>
          <w:sz w:val="26"/>
          <w:szCs w:val="26"/>
        </w:rPr>
        <w:t>Східного</w:t>
      </w:r>
      <w:r w:rsidRPr="00F25550">
        <w:rPr>
          <w:sz w:val="26"/>
          <w:szCs w:val="26"/>
        </w:rPr>
        <w:t xml:space="preserve"> економічного району (частина </w:t>
      </w:r>
      <w:proofErr w:type="spellStart"/>
      <w:r w:rsidRPr="00F25550">
        <w:rPr>
          <w:sz w:val="26"/>
          <w:szCs w:val="26"/>
        </w:rPr>
        <w:t>ІІІ</w:t>
      </w:r>
      <w:proofErr w:type="spellEnd"/>
      <w:r w:rsidRPr="00F25550">
        <w:rPr>
          <w:sz w:val="26"/>
          <w:szCs w:val="26"/>
        </w:rPr>
        <w:t xml:space="preserve"> річної публікації).</w:t>
      </w:r>
    </w:p>
    <w:p w:rsidR="00487371" w:rsidRPr="00F25550" w:rsidRDefault="00487371" w:rsidP="00487371">
      <w:pPr>
        <w:pStyle w:val="3"/>
        <w:suppressAutoHyphens/>
        <w:rPr>
          <w:b/>
          <w:sz w:val="26"/>
          <w:szCs w:val="26"/>
        </w:rPr>
      </w:pPr>
    </w:p>
    <w:p w:rsidR="00487371" w:rsidRPr="00F25550" w:rsidRDefault="00487371" w:rsidP="00487371">
      <w:pPr>
        <w:pStyle w:val="3"/>
        <w:suppressAutoHyphens/>
        <w:rPr>
          <w:b/>
          <w:sz w:val="26"/>
          <w:szCs w:val="26"/>
        </w:rPr>
      </w:pPr>
    </w:p>
    <w:p w:rsidR="00487371" w:rsidRPr="00F25550" w:rsidRDefault="00487371" w:rsidP="00487371">
      <w:pPr>
        <w:pStyle w:val="3"/>
        <w:suppressAutoHyphens/>
        <w:rPr>
          <w:b/>
          <w:sz w:val="26"/>
          <w:szCs w:val="26"/>
          <w:lang w:val="ru-RU"/>
        </w:rPr>
      </w:pPr>
      <w:r w:rsidRPr="00F25550">
        <w:rPr>
          <w:b/>
          <w:sz w:val="26"/>
          <w:szCs w:val="26"/>
        </w:rPr>
        <w:t>Склад 8 економічних районів України в розрізі регіонів</w:t>
      </w:r>
      <w:r w:rsidRPr="00F25550">
        <w:rPr>
          <w:b/>
          <w:sz w:val="26"/>
          <w:szCs w:val="26"/>
          <w:lang w:val="ru-RU"/>
        </w:rPr>
        <w:t>:</w:t>
      </w:r>
    </w:p>
    <w:p w:rsidR="00487371" w:rsidRPr="00F25550" w:rsidRDefault="00487371" w:rsidP="00487371">
      <w:pPr>
        <w:pStyle w:val="3"/>
        <w:suppressAutoHyphens/>
        <w:rPr>
          <w:b/>
          <w:sz w:val="26"/>
          <w:szCs w:val="26"/>
          <w:lang w:val="ru-RU"/>
        </w:rPr>
      </w:pPr>
    </w:p>
    <w:p w:rsidR="00487371" w:rsidRPr="00F25550" w:rsidRDefault="00487371" w:rsidP="00487371">
      <w:pPr>
        <w:pStyle w:val="3"/>
        <w:numPr>
          <w:ilvl w:val="0"/>
          <w:numId w:val="1"/>
        </w:numPr>
        <w:suppressAutoHyphens/>
        <w:ind w:left="1701" w:hanging="567"/>
        <w:rPr>
          <w:sz w:val="26"/>
          <w:szCs w:val="26"/>
          <w:lang w:val="en-US"/>
        </w:rPr>
      </w:pPr>
      <w:r w:rsidRPr="00F25550">
        <w:rPr>
          <w:sz w:val="26"/>
          <w:szCs w:val="26"/>
        </w:rPr>
        <w:t xml:space="preserve"> Східний економічний район</w:t>
      </w:r>
      <w:r w:rsidRPr="00F25550">
        <w:rPr>
          <w:sz w:val="26"/>
          <w:szCs w:val="26"/>
          <w:lang w:val="en-US"/>
        </w:rPr>
        <w:t>:</w:t>
      </w:r>
    </w:p>
    <w:p w:rsidR="00487371" w:rsidRPr="00F25550" w:rsidRDefault="00487371" w:rsidP="00487371">
      <w:pPr>
        <w:pStyle w:val="3"/>
        <w:suppressAutoHyphens/>
        <w:ind w:left="2268" w:firstLine="0"/>
        <w:rPr>
          <w:sz w:val="26"/>
          <w:szCs w:val="26"/>
          <w:lang w:val="en-US"/>
        </w:rPr>
      </w:pPr>
      <w:r w:rsidRPr="00F25550">
        <w:rPr>
          <w:sz w:val="26"/>
          <w:szCs w:val="26"/>
        </w:rPr>
        <w:t>Полтавська область</w:t>
      </w:r>
    </w:p>
    <w:p w:rsidR="00487371" w:rsidRPr="00F25550" w:rsidRDefault="00487371" w:rsidP="00487371">
      <w:pPr>
        <w:pStyle w:val="3"/>
        <w:suppressAutoHyphens/>
        <w:ind w:left="2268" w:firstLine="0"/>
        <w:rPr>
          <w:sz w:val="26"/>
          <w:szCs w:val="26"/>
          <w:lang w:val="en-US"/>
        </w:rPr>
      </w:pPr>
      <w:r w:rsidRPr="00F25550">
        <w:rPr>
          <w:sz w:val="26"/>
          <w:szCs w:val="26"/>
        </w:rPr>
        <w:t>Сумська область</w:t>
      </w:r>
    </w:p>
    <w:p w:rsidR="00487371" w:rsidRPr="00F25550" w:rsidRDefault="00487371" w:rsidP="00487371">
      <w:pPr>
        <w:pStyle w:val="3"/>
        <w:suppressAutoHyphens/>
        <w:ind w:left="2268" w:firstLine="0"/>
        <w:rPr>
          <w:sz w:val="26"/>
          <w:szCs w:val="26"/>
        </w:rPr>
      </w:pPr>
      <w:r w:rsidRPr="00F25550">
        <w:rPr>
          <w:sz w:val="26"/>
          <w:szCs w:val="26"/>
        </w:rPr>
        <w:t>Харківська область</w:t>
      </w:r>
    </w:p>
    <w:p w:rsidR="00487371" w:rsidRPr="00F25550" w:rsidRDefault="00487371" w:rsidP="00487371">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Донецький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487371" w:rsidRPr="00F25550" w:rsidRDefault="00487371" w:rsidP="00487371">
      <w:pPr>
        <w:pStyle w:val="3"/>
        <w:suppressAutoHyphens/>
        <w:ind w:left="2268" w:firstLine="0"/>
        <w:rPr>
          <w:sz w:val="26"/>
          <w:szCs w:val="26"/>
          <w:lang w:val="en-US"/>
        </w:rPr>
      </w:pPr>
      <w:r w:rsidRPr="00F25550">
        <w:rPr>
          <w:sz w:val="26"/>
          <w:szCs w:val="26"/>
        </w:rPr>
        <w:t>Донецька область</w:t>
      </w:r>
    </w:p>
    <w:p w:rsidR="00487371" w:rsidRPr="00F25550" w:rsidRDefault="00487371" w:rsidP="00487371">
      <w:pPr>
        <w:pStyle w:val="3"/>
        <w:suppressAutoHyphens/>
        <w:ind w:left="2268" w:firstLine="0"/>
        <w:rPr>
          <w:sz w:val="26"/>
          <w:szCs w:val="26"/>
        </w:rPr>
      </w:pPr>
      <w:r w:rsidRPr="00F25550">
        <w:rPr>
          <w:sz w:val="26"/>
          <w:szCs w:val="26"/>
        </w:rPr>
        <w:t>Луганська область</w:t>
      </w:r>
    </w:p>
    <w:p w:rsidR="00487371" w:rsidRPr="00F25550" w:rsidRDefault="00487371" w:rsidP="00487371">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Придніпровський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487371" w:rsidRPr="00F25550" w:rsidRDefault="00487371" w:rsidP="00487371">
      <w:pPr>
        <w:pStyle w:val="3"/>
        <w:suppressAutoHyphens/>
        <w:ind w:left="2268" w:firstLine="0"/>
        <w:rPr>
          <w:sz w:val="26"/>
          <w:szCs w:val="26"/>
          <w:lang w:val="en-US"/>
        </w:rPr>
      </w:pPr>
      <w:r w:rsidRPr="00F25550">
        <w:rPr>
          <w:sz w:val="26"/>
          <w:szCs w:val="26"/>
        </w:rPr>
        <w:t>Дніпропетровська область</w:t>
      </w:r>
    </w:p>
    <w:p w:rsidR="00487371" w:rsidRPr="00F25550" w:rsidRDefault="00487371" w:rsidP="00487371">
      <w:pPr>
        <w:pStyle w:val="3"/>
        <w:suppressAutoHyphens/>
        <w:ind w:left="2268" w:firstLine="0"/>
        <w:rPr>
          <w:sz w:val="26"/>
          <w:szCs w:val="26"/>
          <w:lang w:val="en-US"/>
        </w:rPr>
      </w:pPr>
      <w:r w:rsidRPr="00F25550">
        <w:rPr>
          <w:sz w:val="26"/>
          <w:szCs w:val="26"/>
        </w:rPr>
        <w:t>Запорізька область</w:t>
      </w:r>
    </w:p>
    <w:p w:rsidR="00487371" w:rsidRPr="00F25550" w:rsidRDefault="00487371" w:rsidP="00487371">
      <w:pPr>
        <w:pStyle w:val="3"/>
        <w:suppressAutoHyphens/>
        <w:ind w:left="2268" w:firstLine="0"/>
        <w:rPr>
          <w:sz w:val="26"/>
          <w:szCs w:val="26"/>
        </w:rPr>
      </w:pPr>
      <w:r w:rsidRPr="00F25550">
        <w:rPr>
          <w:sz w:val="26"/>
          <w:szCs w:val="26"/>
        </w:rPr>
        <w:t>Кіровоградська область</w:t>
      </w:r>
    </w:p>
    <w:p w:rsidR="00487371" w:rsidRPr="00F25550" w:rsidRDefault="00487371" w:rsidP="00487371">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Причорноморський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487371" w:rsidRPr="00F25550" w:rsidRDefault="00487371" w:rsidP="00487371">
      <w:pPr>
        <w:pStyle w:val="3"/>
        <w:suppressAutoHyphens/>
        <w:ind w:left="2268" w:firstLine="0"/>
        <w:rPr>
          <w:sz w:val="26"/>
          <w:szCs w:val="26"/>
          <w:lang w:val="en-US"/>
        </w:rPr>
      </w:pPr>
      <w:r w:rsidRPr="00F25550">
        <w:rPr>
          <w:sz w:val="26"/>
          <w:szCs w:val="26"/>
        </w:rPr>
        <w:t>Одеська область</w:t>
      </w:r>
    </w:p>
    <w:p w:rsidR="00487371" w:rsidRPr="00F25550" w:rsidRDefault="00487371" w:rsidP="00487371">
      <w:pPr>
        <w:pStyle w:val="3"/>
        <w:suppressAutoHyphens/>
        <w:ind w:left="2268" w:firstLine="0"/>
        <w:rPr>
          <w:sz w:val="26"/>
          <w:szCs w:val="26"/>
          <w:lang w:val="en-US"/>
        </w:rPr>
      </w:pPr>
      <w:r w:rsidRPr="00F25550">
        <w:rPr>
          <w:sz w:val="26"/>
          <w:szCs w:val="26"/>
        </w:rPr>
        <w:t>Миколаївська область</w:t>
      </w:r>
    </w:p>
    <w:p w:rsidR="00487371" w:rsidRPr="00F25550" w:rsidRDefault="00487371" w:rsidP="00487371">
      <w:pPr>
        <w:pStyle w:val="3"/>
        <w:suppressAutoHyphens/>
        <w:ind w:left="2268" w:firstLine="0"/>
        <w:rPr>
          <w:sz w:val="26"/>
          <w:szCs w:val="26"/>
        </w:rPr>
      </w:pPr>
      <w:r w:rsidRPr="00F25550">
        <w:rPr>
          <w:sz w:val="26"/>
          <w:szCs w:val="26"/>
        </w:rPr>
        <w:t>Херсонська область</w:t>
      </w:r>
    </w:p>
    <w:p w:rsidR="00487371" w:rsidRPr="00F25550" w:rsidRDefault="00487371" w:rsidP="00487371">
      <w:pPr>
        <w:pStyle w:val="3"/>
        <w:numPr>
          <w:ilvl w:val="0"/>
          <w:numId w:val="2"/>
        </w:numPr>
        <w:suppressAutoHyphens/>
        <w:ind w:left="1701" w:hanging="567"/>
        <w:rPr>
          <w:sz w:val="26"/>
          <w:szCs w:val="26"/>
          <w:lang w:val="en-US"/>
        </w:rPr>
      </w:pPr>
      <w:proofErr w:type="spellStart"/>
      <w:r w:rsidRPr="00F25550">
        <w:rPr>
          <w:sz w:val="26"/>
          <w:szCs w:val="26"/>
          <w:lang w:val="en-US"/>
        </w:rPr>
        <w:t>Подільський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487371" w:rsidRPr="00F25550" w:rsidRDefault="00487371" w:rsidP="00487371">
      <w:pPr>
        <w:pStyle w:val="3"/>
        <w:suppressAutoHyphens/>
        <w:ind w:left="2268" w:firstLine="0"/>
        <w:rPr>
          <w:sz w:val="26"/>
          <w:szCs w:val="26"/>
          <w:lang w:val="en-US"/>
        </w:rPr>
      </w:pPr>
      <w:r w:rsidRPr="00F25550">
        <w:rPr>
          <w:sz w:val="26"/>
          <w:szCs w:val="26"/>
        </w:rPr>
        <w:t>Вінницька область</w:t>
      </w:r>
    </w:p>
    <w:p w:rsidR="00487371" w:rsidRPr="00F25550" w:rsidRDefault="00487371" w:rsidP="00487371">
      <w:pPr>
        <w:pStyle w:val="3"/>
        <w:suppressAutoHyphens/>
        <w:ind w:left="2268" w:firstLine="0"/>
        <w:rPr>
          <w:sz w:val="26"/>
          <w:szCs w:val="26"/>
          <w:lang w:val="en-US"/>
        </w:rPr>
      </w:pPr>
      <w:r w:rsidRPr="00F25550">
        <w:rPr>
          <w:sz w:val="26"/>
          <w:szCs w:val="26"/>
        </w:rPr>
        <w:t>Тернопільська область</w:t>
      </w:r>
    </w:p>
    <w:p w:rsidR="00487371" w:rsidRPr="00F25550" w:rsidRDefault="00487371" w:rsidP="00487371">
      <w:pPr>
        <w:pStyle w:val="3"/>
        <w:suppressAutoHyphens/>
        <w:ind w:left="2268" w:firstLine="0"/>
        <w:rPr>
          <w:sz w:val="26"/>
          <w:szCs w:val="26"/>
        </w:rPr>
      </w:pPr>
      <w:r w:rsidRPr="00F25550">
        <w:rPr>
          <w:sz w:val="26"/>
          <w:szCs w:val="26"/>
        </w:rPr>
        <w:t>Хмельницька область</w:t>
      </w:r>
    </w:p>
    <w:p w:rsidR="00487371" w:rsidRPr="00F25550" w:rsidRDefault="00487371" w:rsidP="00487371">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Центральний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487371" w:rsidRPr="00F25550" w:rsidRDefault="00487371" w:rsidP="00487371">
      <w:pPr>
        <w:pStyle w:val="3"/>
        <w:suppressAutoHyphens/>
        <w:ind w:left="2268" w:firstLine="0"/>
        <w:rPr>
          <w:sz w:val="26"/>
          <w:szCs w:val="26"/>
          <w:lang w:val="en-US"/>
        </w:rPr>
      </w:pPr>
      <w:r w:rsidRPr="00F25550">
        <w:rPr>
          <w:sz w:val="26"/>
          <w:szCs w:val="26"/>
        </w:rPr>
        <w:t>Київська область</w:t>
      </w:r>
    </w:p>
    <w:p w:rsidR="00487371" w:rsidRPr="00F25550" w:rsidRDefault="00487371" w:rsidP="00487371">
      <w:pPr>
        <w:pStyle w:val="3"/>
        <w:suppressAutoHyphens/>
        <w:ind w:left="2268" w:firstLine="0"/>
        <w:rPr>
          <w:sz w:val="26"/>
          <w:szCs w:val="26"/>
          <w:lang w:val="en-US"/>
        </w:rPr>
      </w:pPr>
      <w:r w:rsidRPr="00F25550">
        <w:rPr>
          <w:sz w:val="26"/>
          <w:szCs w:val="26"/>
        </w:rPr>
        <w:t>м.</w:t>
      </w:r>
      <w:r>
        <w:rPr>
          <w:sz w:val="26"/>
          <w:szCs w:val="26"/>
        </w:rPr>
        <w:t xml:space="preserve"> </w:t>
      </w:r>
      <w:r w:rsidRPr="00F25550">
        <w:rPr>
          <w:sz w:val="26"/>
          <w:szCs w:val="26"/>
        </w:rPr>
        <w:t>Київ</w:t>
      </w:r>
    </w:p>
    <w:p w:rsidR="00487371" w:rsidRPr="00F25550" w:rsidRDefault="00487371" w:rsidP="00487371">
      <w:pPr>
        <w:pStyle w:val="3"/>
        <w:suppressAutoHyphens/>
        <w:ind w:left="2268" w:firstLine="0"/>
        <w:rPr>
          <w:sz w:val="26"/>
          <w:szCs w:val="26"/>
        </w:rPr>
      </w:pPr>
      <w:r w:rsidRPr="00F25550">
        <w:rPr>
          <w:sz w:val="26"/>
          <w:szCs w:val="26"/>
        </w:rPr>
        <w:t>Черкаська область</w:t>
      </w:r>
    </w:p>
    <w:p w:rsidR="00487371" w:rsidRPr="00F25550" w:rsidRDefault="00487371" w:rsidP="00487371">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Карпатський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487371" w:rsidRPr="00F25550" w:rsidRDefault="00487371" w:rsidP="00487371">
      <w:pPr>
        <w:pStyle w:val="3"/>
        <w:suppressAutoHyphens/>
        <w:ind w:left="2268" w:firstLine="0"/>
        <w:rPr>
          <w:sz w:val="26"/>
          <w:szCs w:val="26"/>
          <w:lang w:val="en-US"/>
        </w:rPr>
      </w:pPr>
      <w:r w:rsidRPr="00F25550">
        <w:rPr>
          <w:sz w:val="26"/>
          <w:szCs w:val="26"/>
        </w:rPr>
        <w:t>Закарпатська область</w:t>
      </w:r>
    </w:p>
    <w:p w:rsidR="00487371" w:rsidRPr="00F25550" w:rsidRDefault="00487371" w:rsidP="00487371">
      <w:pPr>
        <w:pStyle w:val="3"/>
        <w:suppressAutoHyphens/>
        <w:ind w:left="2268" w:firstLine="0"/>
        <w:rPr>
          <w:sz w:val="26"/>
          <w:szCs w:val="26"/>
          <w:lang w:val="en-US"/>
        </w:rPr>
      </w:pPr>
      <w:r w:rsidRPr="00F25550">
        <w:rPr>
          <w:sz w:val="26"/>
          <w:szCs w:val="26"/>
        </w:rPr>
        <w:t>Івано-Франківська область</w:t>
      </w:r>
    </w:p>
    <w:p w:rsidR="00487371" w:rsidRPr="00F25550" w:rsidRDefault="00487371" w:rsidP="00487371">
      <w:pPr>
        <w:pStyle w:val="3"/>
        <w:suppressAutoHyphens/>
        <w:ind w:left="2268" w:firstLine="0"/>
        <w:rPr>
          <w:sz w:val="26"/>
          <w:szCs w:val="26"/>
        </w:rPr>
      </w:pPr>
      <w:r w:rsidRPr="00F25550">
        <w:rPr>
          <w:sz w:val="26"/>
          <w:szCs w:val="26"/>
        </w:rPr>
        <w:t>Львівська область</w:t>
      </w:r>
    </w:p>
    <w:p w:rsidR="00487371" w:rsidRPr="00F25550" w:rsidRDefault="00487371" w:rsidP="00487371">
      <w:pPr>
        <w:pStyle w:val="3"/>
        <w:suppressAutoHyphens/>
        <w:ind w:left="2268" w:firstLine="0"/>
        <w:rPr>
          <w:sz w:val="26"/>
          <w:szCs w:val="26"/>
        </w:rPr>
      </w:pPr>
      <w:r w:rsidRPr="00F25550">
        <w:rPr>
          <w:sz w:val="26"/>
          <w:szCs w:val="26"/>
        </w:rPr>
        <w:t>Чернівецька область</w:t>
      </w:r>
    </w:p>
    <w:p w:rsidR="00487371" w:rsidRPr="00F25550" w:rsidRDefault="00487371" w:rsidP="00487371">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Поліський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487371" w:rsidRPr="00F25550" w:rsidRDefault="00487371" w:rsidP="00487371">
      <w:pPr>
        <w:pStyle w:val="3"/>
        <w:suppressAutoHyphens/>
        <w:ind w:left="2268" w:firstLine="0"/>
        <w:rPr>
          <w:sz w:val="26"/>
          <w:szCs w:val="26"/>
          <w:lang w:val="en-US"/>
        </w:rPr>
      </w:pPr>
      <w:r w:rsidRPr="00F25550">
        <w:rPr>
          <w:sz w:val="26"/>
          <w:szCs w:val="26"/>
        </w:rPr>
        <w:t>Волинська область</w:t>
      </w:r>
    </w:p>
    <w:p w:rsidR="00487371" w:rsidRPr="00F25550" w:rsidRDefault="00487371" w:rsidP="00487371">
      <w:pPr>
        <w:pStyle w:val="3"/>
        <w:suppressAutoHyphens/>
        <w:ind w:left="2268" w:firstLine="0"/>
        <w:rPr>
          <w:sz w:val="26"/>
          <w:szCs w:val="26"/>
          <w:lang w:val="en-US"/>
        </w:rPr>
      </w:pPr>
      <w:r w:rsidRPr="00F25550">
        <w:rPr>
          <w:sz w:val="26"/>
          <w:szCs w:val="26"/>
        </w:rPr>
        <w:t>Житомирська область</w:t>
      </w:r>
    </w:p>
    <w:p w:rsidR="00487371" w:rsidRPr="00F25550" w:rsidRDefault="00487371" w:rsidP="00487371">
      <w:pPr>
        <w:pStyle w:val="3"/>
        <w:suppressAutoHyphens/>
        <w:ind w:left="2268" w:firstLine="0"/>
        <w:rPr>
          <w:sz w:val="26"/>
          <w:szCs w:val="26"/>
        </w:rPr>
      </w:pPr>
      <w:r w:rsidRPr="00F25550">
        <w:rPr>
          <w:sz w:val="26"/>
          <w:szCs w:val="26"/>
        </w:rPr>
        <w:t>Рівненська область</w:t>
      </w:r>
    </w:p>
    <w:p w:rsidR="00487371" w:rsidRPr="00A93194" w:rsidRDefault="00487371" w:rsidP="00487371">
      <w:pPr>
        <w:pStyle w:val="3"/>
        <w:suppressAutoHyphens/>
        <w:ind w:left="2268" w:firstLine="0"/>
        <w:rPr>
          <w:sz w:val="26"/>
          <w:szCs w:val="26"/>
        </w:rPr>
      </w:pPr>
      <w:r w:rsidRPr="00F25550">
        <w:rPr>
          <w:sz w:val="26"/>
          <w:szCs w:val="26"/>
        </w:rPr>
        <w:t>Чернігівська область.</w:t>
      </w:r>
    </w:p>
    <w:p w:rsidR="00DD7AD3" w:rsidRDefault="00DD7AD3"/>
    <w:sectPr w:rsidR="00DD7AD3">
      <w:footerReference w:type="first" r:id="rId7"/>
      <w:pgSz w:w="11906" w:h="16838"/>
      <w:pgMar w:top="851" w:right="1134" w:bottom="709"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371" w:rsidRDefault="00487371" w:rsidP="00487371">
      <w:r>
        <w:separator/>
      </w:r>
    </w:p>
  </w:endnote>
  <w:endnote w:type="continuationSeparator" w:id="0">
    <w:p w:rsidR="00487371" w:rsidRDefault="00487371" w:rsidP="0048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0B" w:rsidRDefault="00487371">
    <w:pPr>
      <w:pStyle w:val="a6"/>
    </w:pP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371" w:rsidRDefault="00487371" w:rsidP="00487371">
      <w:r>
        <w:separator/>
      </w:r>
    </w:p>
  </w:footnote>
  <w:footnote w:type="continuationSeparator" w:id="0">
    <w:p w:rsidR="00487371" w:rsidRDefault="00487371" w:rsidP="00487371">
      <w:r>
        <w:continuationSeparator/>
      </w:r>
    </w:p>
  </w:footnote>
  <w:footnote w:id="1">
    <w:p w:rsidR="00031DC1" w:rsidRDefault="00487371" w:rsidP="00031DC1">
      <w:pPr>
        <w:jc w:val="both"/>
        <w:rPr>
          <w:sz w:val="19"/>
          <w:lang w:val="en-US"/>
        </w:rPr>
      </w:pPr>
      <w:r w:rsidRPr="007B07D6">
        <w:rPr>
          <w:rStyle w:val="a3"/>
          <w:sz w:val="22"/>
          <w:szCs w:val="22"/>
        </w:rPr>
        <w:t>1</w:t>
      </w:r>
      <w:r w:rsidRPr="007B07D6">
        <w:rPr>
          <w:sz w:val="19"/>
        </w:rPr>
        <w:t xml:space="preserve"> “</w:t>
      </w:r>
      <w:r w:rsidRPr="007B07D6">
        <w:rPr>
          <w:sz w:val="19"/>
          <w:lang w:val="en-US"/>
        </w:rPr>
        <w:t>Household Budget Surveys in the EU Methodology and Recommendations for Harmonization 1997</w:t>
      </w:r>
      <w:r w:rsidRPr="007B07D6">
        <w:rPr>
          <w:sz w:val="19"/>
        </w:rPr>
        <w:t>”</w:t>
      </w:r>
      <w:r w:rsidRPr="007B07D6">
        <w:rPr>
          <w:sz w:val="19"/>
          <w:lang w:val="en-GB"/>
        </w:rPr>
        <w:t xml:space="preserve">, </w:t>
      </w:r>
      <w:r w:rsidRPr="007B07D6">
        <w:rPr>
          <w:sz w:val="19"/>
          <w:lang w:val="en-US"/>
        </w:rPr>
        <w:t xml:space="preserve">Eurostat, Luxembourg 1997. </w:t>
      </w:r>
    </w:p>
    <w:p w:rsidR="00031DC1" w:rsidRPr="00565544" w:rsidRDefault="00031DC1" w:rsidP="00031DC1">
      <w:pPr>
        <w:jc w:val="both"/>
        <w:rPr>
          <w:sz w:val="20"/>
        </w:rPr>
      </w:pPr>
      <w:r>
        <w:rPr>
          <w:rStyle w:val="a3"/>
          <w:sz w:val="22"/>
          <w:szCs w:val="22"/>
        </w:rPr>
        <w:t>2</w:t>
      </w:r>
      <w:r w:rsidRPr="007B07D6">
        <w:t xml:space="preserve"> </w:t>
      </w:r>
      <w:r w:rsidRPr="007B07D6">
        <w:rPr>
          <w:sz w:val="20"/>
        </w:rPr>
        <w:t xml:space="preserve">Зазначена класифікація гармонізована з Класифікацією індивідуального споживання за цілями Європейського Союзу – </w:t>
      </w:r>
      <w:proofErr w:type="spellStart"/>
      <w:r w:rsidRPr="007B07D6">
        <w:rPr>
          <w:sz w:val="20"/>
        </w:rPr>
        <w:t>Classification</w:t>
      </w:r>
      <w:proofErr w:type="spellEnd"/>
      <w:r w:rsidRPr="007B07D6">
        <w:rPr>
          <w:sz w:val="20"/>
        </w:rPr>
        <w:t xml:space="preserve"> </w:t>
      </w:r>
      <w:proofErr w:type="spellStart"/>
      <w:r w:rsidRPr="007B07D6">
        <w:rPr>
          <w:sz w:val="20"/>
        </w:rPr>
        <w:t>of</w:t>
      </w:r>
      <w:proofErr w:type="spellEnd"/>
      <w:r w:rsidRPr="007B07D6">
        <w:rPr>
          <w:sz w:val="20"/>
        </w:rPr>
        <w:t xml:space="preserve"> </w:t>
      </w:r>
      <w:proofErr w:type="spellStart"/>
      <w:r w:rsidRPr="007B07D6">
        <w:rPr>
          <w:sz w:val="20"/>
        </w:rPr>
        <w:t>Individual</w:t>
      </w:r>
      <w:proofErr w:type="spellEnd"/>
      <w:r w:rsidRPr="007B07D6">
        <w:rPr>
          <w:sz w:val="20"/>
        </w:rPr>
        <w:t xml:space="preserve"> </w:t>
      </w:r>
      <w:proofErr w:type="spellStart"/>
      <w:r w:rsidRPr="007B07D6">
        <w:rPr>
          <w:sz w:val="20"/>
        </w:rPr>
        <w:t>Consumption</w:t>
      </w:r>
      <w:proofErr w:type="spellEnd"/>
      <w:r w:rsidRPr="007B07D6">
        <w:rPr>
          <w:sz w:val="20"/>
        </w:rPr>
        <w:t xml:space="preserve"> </w:t>
      </w:r>
      <w:proofErr w:type="spellStart"/>
      <w:r w:rsidRPr="007B07D6">
        <w:rPr>
          <w:sz w:val="20"/>
        </w:rPr>
        <w:t>by</w:t>
      </w:r>
      <w:proofErr w:type="spellEnd"/>
      <w:r w:rsidRPr="007B07D6">
        <w:rPr>
          <w:sz w:val="20"/>
        </w:rPr>
        <w:t xml:space="preserve"> </w:t>
      </w:r>
      <w:proofErr w:type="spellStart"/>
      <w:r w:rsidRPr="007B07D6">
        <w:rPr>
          <w:sz w:val="20"/>
        </w:rPr>
        <w:t>Purpose</w:t>
      </w:r>
      <w:proofErr w:type="spellEnd"/>
      <w:r w:rsidRPr="007B07D6">
        <w:rPr>
          <w:sz w:val="20"/>
        </w:rPr>
        <w:t xml:space="preserve"> (</w:t>
      </w:r>
      <w:proofErr w:type="spellStart"/>
      <w:r w:rsidRPr="007B07D6">
        <w:rPr>
          <w:sz w:val="20"/>
        </w:rPr>
        <w:t>COICOP-HBS</w:t>
      </w:r>
      <w:proofErr w:type="spellEnd"/>
      <w:r w:rsidRPr="007B07D6">
        <w:rPr>
          <w:sz w:val="20"/>
        </w:rPr>
        <w:t>), 2003.</w:t>
      </w:r>
    </w:p>
    <w:p w:rsidR="00487371" w:rsidRPr="00031DC1" w:rsidRDefault="00487371" w:rsidP="00487371">
      <w:pPr>
        <w:pStyle w:val="a4"/>
        <w:jc w:val="both"/>
        <w:rPr>
          <w:sz w:val="19"/>
        </w:rPr>
      </w:pP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5332"/>
    <w:multiLevelType w:val="singleLevel"/>
    <w:tmpl w:val="06BEEBFE"/>
    <w:lvl w:ilvl="0">
      <w:start w:val="1"/>
      <w:numFmt w:val="bullet"/>
      <w:lvlText w:val=""/>
      <w:lvlJc w:val="left"/>
      <w:pPr>
        <w:tabs>
          <w:tab w:val="num" w:pos="360"/>
        </w:tabs>
        <w:ind w:left="360" w:hanging="360"/>
      </w:pPr>
      <w:rPr>
        <w:rFonts w:ascii="Wingdings" w:hAnsi="Wingdings" w:hint="default"/>
        <w:sz w:val="40"/>
      </w:rPr>
    </w:lvl>
  </w:abstractNum>
  <w:abstractNum w:abstractNumId="1">
    <w:nsid w:val="3FCD53BA"/>
    <w:multiLevelType w:val="singleLevel"/>
    <w:tmpl w:val="BE0A1BEC"/>
    <w:lvl w:ilvl="0">
      <w:start w:val="1"/>
      <w:numFmt w:val="bullet"/>
      <w:lvlText w:val=""/>
      <w:lvlJc w:val="left"/>
      <w:pPr>
        <w:tabs>
          <w:tab w:val="num" w:pos="360"/>
        </w:tabs>
        <w:ind w:left="360" w:hanging="360"/>
      </w:pPr>
      <w:rPr>
        <w:rFonts w:ascii="Wingdings" w:hAnsi="Wingdings" w:hint="default"/>
        <w:sz w:val="40"/>
      </w:rPr>
    </w:lvl>
  </w:abstractNum>
  <w:abstractNum w:abstractNumId="2">
    <w:nsid w:val="5B232917"/>
    <w:multiLevelType w:val="hybridMultilevel"/>
    <w:tmpl w:val="0638F072"/>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7476728"/>
    <w:multiLevelType w:val="hybridMultilevel"/>
    <w:tmpl w:val="53928848"/>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DF8"/>
    <w:rsid w:val="00031DC1"/>
    <w:rsid w:val="000C0DF8"/>
    <w:rsid w:val="00487371"/>
    <w:rsid w:val="00DD7A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187F97-B5E5-4F85-8501-3A1C5878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371"/>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487371"/>
    <w:pPr>
      <w:widowControl w:val="0"/>
      <w:ind w:firstLine="851"/>
      <w:jc w:val="both"/>
    </w:pPr>
    <w:rPr>
      <w:sz w:val="24"/>
    </w:rPr>
  </w:style>
  <w:style w:type="character" w:styleId="a3">
    <w:name w:val="footnote reference"/>
    <w:semiHidden/>
    <w:rsid w:val="00487371"/>
    <w:rPr>
      <w:vertAlign w:val="superscript"/>
    </w:rPr>
  </w:style>
  <w:style w:type="paragraph" w:styleId="a4">
    <w:name w:val="footnote text"/>
    <w:basedOn w:val="a"/>
    <w:link w:val="a5"/>
    <w:semiHidden/>
    <w:rsid w:val="00487371"/>
    <w:pPr>
      <w:widowControl w:val="0"/>
    </w:pPr>
    <w:rPr>
      <w:sz w:val="20"/>
    </w:rPr>
  </w:style>
  <w:style w:type="character" w:customStyle="1" w:styleId="a5">
    <w:name w:val="Текст сноски Знак"/>
    <w:basedOn w:val="a0"/>
    <w:link w:val="a4"/>
    <w:semiHidden/>
    <w:rsid w:val="00487371"/>
    <w:rPr>
      <w:rFonts w:ascii="Times New Roman" w:eastAsia="Times New Roman" w:hAnsi="Times New Roman" w:cs="Times New Roman"/>
      <w:sz w:val="20"/>
      <w:szCs w:val="20"/>
      <w:lang w:eastAsia="uk-UA"/>
    </w:rPr>
  </w:style>
  <w:style w:type="paragraph" w:styleId="3">
    <w:name w:val="Body Text Indent 3"/>
    <w:basedOn w:val="a"/>
    <w:link w:val="30"/>
    <w:rsid w:val="00487371"/>
    <w:pPr>
      <w:ind w:firstLine="851"/>
      <w:jc w:val="both"/>
    </w:pPr>
  </w:style>
  <w:style w:type="character" w:customStyle="1" w:styleId="30">
    <w:name w:val="Основной текст с отступом 3 Знак"/>
    <w:basedOn w:val="a0"/>
    <w:link w:val="3"/>
    <w:rsid w:val="00487371"/>
    <w:rPr>
      <w:rFonts w:ascii="Times New Roman" w:eastAsia="Times New Roman" w:hAnsi="Times New Roman" w:cs="Times New Roman"/>
      <w:sz w:val="28"/>
      <w:szCs w:val="20"/>
      <w:lang w:eastAsia="uk-UA"/>
    </w:rPr>
  </w:style>
  <w:style w:type="paragraph" w:styleId="a6">
    <w:name w:val="footer"/>
    <w:basedOn w:val="a"/>
    <w:link w:val="a7"/>
    <w:rsid w:val="00487371"/>
    <w:pPr>
      <w:tabs>
        <w:tab w:val="center" w:pos="4153"/>
        <w:tab w:val="right" w:pos="8306"/>
      </w:tabs>
    </w:pPr>
  </w:style>
  <w:style w:type="character" w:customStyle="1" w:styleId="a7">
    <w:name w:val="Нижний колонтитул Знак"/>
    <w:basedOn w:val="a0"/>
    <w:link w:val="a6"/>
    <w:rsid w:val="00487371"/>
    <w:rPr>
      <w:rFonts w:ascii="Times New Roman" w:eastAsia="Times New Roman" w:hAnsi="Times New Roman" w:cs="Times New Roman"/>
      <w:sz w:val="28"/>
      <w:szCs w:val="20"/>
      <w:lang w:eastAsia="uk-UA"/>
    </w:rPr>
  </w:style>
  <w:style w:type="character" w:styleId="a8">
    <w:name w:val="page number"/>
    <w:basedOn w:val="a0"/>
    <w:rsid w:val="00487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766</Words>
  <Characters>6598</Characters>
  <Application>Microsoft Office Word</Application>
  <DocSecurity>0</DocSecurity>
  <Lines>199</Lines>
  <Paragraphs>115</Paragraphs>
  <ScaleCrop>false</ScaleCrop>
  <Company>Hewlett-Packard Company</Company>
  <LinksUpToDate>false</LinksUpToDate>
  <CharactersWithSpaces>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2017-11-06T13:11:00Z</dcterms:created>
  <dcterms:modified xsi:type="dcterms:W3CDTF">2017-11-06T13:45:00Z</dcterms:modified>
</cp:coreProperties>
</file>