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0BA" w:rsidRPr="00564591" w:rsidRDefault="009640BA" w:rsidP="009640BA">
      <w:pPr>
        <w:pBdr>
          <w:top w:val="single" w:sz="4" w:space="6" w:color="auto"/>
          <w:left w:val="single" w:sz="4" w:space="6" w:color="auto"/>
          <w:bottom w:val="single" w:sz="4" w:space="5" w:color="auto"/>
          <w:right w:val="single" w:sz="4" w:space="4" w:color="auto"/>
        </w:pBdr>
        <w:shd w:val="clear" w:color="auto" w:fill="F3F3F3"/>
        <w:spacing w:before="60" w:line="200" w:lineRule="exact"/>
        <w:ind w:firstLine="709"/>
        <w:rPr>
          <w:rFonts w:ascii="Arial" w:hAnsi="Arial" w:cs="Arial"/>
          <w:b/>
          <w:sz w:val="12"/>
          <w:szCs w:val="12"/>
          <w:lang w:val="uk-UA"/>
        </w:rPr>
      </w:pPr>
    </w:p>
    <w:p w:rsidR="009640BA" w:rsidRDefault="009640BA" w:rsidP="009640BA">
      <w:pPr>
        <w:pBdr>
          <w:top w:val="single" w:sz="4" w:space="6" w:color="auto"/>
          <w:left w:val="single" w:sz="4" w:space="6" w:color="auto"/>
          <w:bottom w:val="single" w:sz="4" w:space="5" w:color="auto"/>
          <w:right w:val="single" w:sz="4" w:space="4" w:color="auto"/>
        </w:pBdr>
        <w:shd w:val="clear" w:color="auto" w:fill="F3F3F3"/>
        <w:spacing w:before="60" w:line="200" w:lineRule="exact"/>
        <w:ind w:firstLine="709"/>
        <w:rPr>
          <w:rFonts w:ascii="Arial" w:hAnsi="Arial" w:cs="Arial"/>
          <w:b/>
        </w:rPr>
      </w:pPr>
      <w:r w:rsidRPr="00D93608">
        <w:rPr>
          <w:rFonts w:ascii="Arial" w:hAnsi="Arial" w:cs="Arial"/>
          <w:b/>
        </w:rPr>
        <w:t>ПЕРЕДМОВА</w:t>
      </w:r>
    </w:p>
    <w:p w:rsidR="009640BA" w:rsidRPr="00D11ADE" w:rsidRDefault="009640BA" w:rsidP="009640BA">
      <w:pPr>
        <w:pBdr>
          <w:top w:val="single" w:sz="4" w:space="6" w:color="auto"/>
          <w:left w:val="single" w:sz="4" w:space="6" w:color="auto"/>
          <w:bottom w:val="single" w:sz="4" w:space="5" w:color="auto"/>
          <w:right w:val="single" w:sz="4" w:space="4" w:color="auto"/>
        </w:pBdr>
        <w:shd w:val="clear" w:color="auto" w:fill="F3F3F3"/>
        <w:spacing w:before="60" w:line="200" w:lineRule="exact"/>
        <w:ind w:firstLine="709"/>
        <w:rPr>
          <w:rFonts w:ascii="Arial" w:hAnsi="Arial" w:cs="Arial"/>
          <w:i/>
          <w:sz w:val="22"/>
          <w:szCs w:val="22"/>
        </w:rPr>
      </w:pPr>
      <w:r>
        <w:rPr>
          <w:rFonts w:ascii="Arial" w:hAnsi="Arial" w:cs="Arial"/>
          <w:i/>
          <w:sz w:val="22"/>
          <w:szCs w:val="22"/>
          <w:lang w:val="en-US"/>
        </w:rPr>
        <w:t>FOREWORD</w:t>
      </w:r>
    </w:p>
    <w:p w:rsidR="009640BA" w:rsidRPr="00426155" w:rsidRDefault="009640BA" w:rsidP="009640BA">
      <w:pPr>
        <w:pBdr>
          <w:top w:val="single" w:sz="4" w:space="6" w:color="auto"/>
          <w:left w:val="single" w:sz="4" w:space="6" w:color="auto"/>
          <w:bottom w:val="single" w:sz="4" w:space="5" w:color="auto"/>
          <w:right w:val="single" w:sz="4" w:space="4" w:color="auto"/>
        </w:pBdr>
        <w:shd w:val="clear" w:color="auto" w:fill="F3F3F3"/>
        <w:spacing w:before="60" w:line="200" w:lineRule="exact"/>
        <w:ind w:firstLine="709"/>
        <w:rPr>
          <w:rFonts w:ascii="Arial" w:hAnsi="Arial" w:cs="Arial"/>
          <w:sz w:val="12"/>
          <w:szCs w:val="12"/>
          <w:lang w:val="uk-UA"/>
        </w:rPr>
      </w:pPr>
    </w:p>
    <w:p w:rsidR="009640BA" w:rsidRPr="00AB2D9C" w:rsidRDefault="009640BA" w:rsidP="009640BA">
      <w:pPr>
        <w:spacing w:before="60" w:line="200" w:lineRule="exact"/>
        <w:rPr>
          <w:lang w:val="uk-UA"/>
        </w:rPr>
      </w:pPr>
    </w:p>
    <w:p w:rsidR="009640BA" w:rsidRPr="00733E1E" w:rsidRDefault="009640BA" w:rsidP="009640BA">
      <w:pPr>
        <w:spacing w:before="60" w:line="200" w:lineRule="exact"/>
        <w:ind w:firstLine="709"/>
        <w:jc w:val="both"/>
        <w:rPr>
          <w:rFonts w:ascii="Arial" w:hAnsi="Arial" w:cs="Arial"/>
          <w:sz w:val="22"/>
          <w:szCs w:val="22"/>
          <w:lang w:val="uk-UA"/>
        </w:rPr>
      </w:pPr>
      <w:proofErr w:type="spellStart"/>
      <w:r w:rsidRPr="00733E1E">
        <w:rPr>
          <w:rFonts w:ascii="Arial" w:hAnsi="Arial" w:cs="Arial"/>
          <w:sz w:val="22"/>
          <w:szCs w:val="22"/>
          <w:lang w:val="uk-UA"/>
        </w:rPr>
        <w:t>Cтатистичний</w:t>
      </w:r>
      <w:proofErr w:type="spellEnd"/>
      <w:r w:rsidRPr="00733E1E">
        <w:rPr>
          <w:rFonts w:ascii="Arial" w:hAnsi="Arial" w:cs="Arial"/>
          <w:sz w:val="22"/>
          <w:szCs w:val="22"/>
          <w:lang w:val="uk-UA"/>
        </w:rPr>
        <w:t xml:space="preserve"> збірник "Промисловість України" містить основні статистичні показники, що характеризують стан і розвиток промисловості України у 2011–2015 роках. </w:t>
      </w:r>
    </w:p>
    <w:p w:rsidR="009640BA" w:rsidRPr="00733E1E" w:rsidRDefault="009640BA" w:rsidP="009640BA">
      <w:pPr>
        <w:spacing w:before="60" w:line="200" w:lineRule="exact"/>
        <w:ind w:firstLine="709"/>
        <w:jc w:val="both"/>
        <w:rPr>
          <w:rFonts w:ascii="Arial" w:hAnsi="Arial" w:cs="Arial"/>
          <w:sz w:val="22"/>
          <w:szCs w:val="22"/>
          <w:lang w:val="uk-UA"/>
        </w:rPr>
      </w:pPr>
      <w:r w:rsidRPr="00733E1E">
        <w:rPr>
          <w:rFonts w:ascii="Arial" w:hAnsi="Arial" w:cs="Arial"/>
          <w:sz w:val="22"/>
          <w:szCs w:val="22"/>
          <w:lang w:val="uk-UA"/>
        </w:rPr>
        <w:t>До збірника включен</w:t>
      </w:r>
      <w:r>
        <w:rPr>
          <w:rFonts w:ascii="Arial" w:hAnsi="Arial" w:cs="Arial"/>
          <w:sz w:val="22"/>
          <w:szCs w:val="22"/>
          <w:lang w:val="uk-UA"/>
        </w:rPr>
        <w:t>о</w:t>
      </w:r>
      <w:r w:rsidRPr="00733E1E">
        <w:rPr>
          <w:rFonts w:ascii="Arial" w:hAnsi="Arial" w:cs="Arial"/>
          <w:sz w:val="22"/>
          <w:szCs w:val="22"/>
          <w:lang w:val="uk-UA"/>
        </w:rPr>
        <w:t xml:space="preserve"> </w:t>
      </w:r>
      <w:r>
        <w:rPr>
          <w:rFonts w:ascii="Arial" w:hAnsi="Arial" w:cs="Arial"/>
          <w:sz w:val="22"/>
          <w:szCs w:val="22"/>
          <w:lang w:val="uk-UA"/>
        </w:rPr>
        <w:t>дані</w:t>
      </w:r>
      <w:r w:rsidRPr="00733E1E">
        <w:rPr>
          <w:rFonts w:ascii="Arial" w:hAnsi="Arial" w:cs="Arial"/>
          <w:sz w:val="22"/>
          <w:szCs w:val="22"/>
          <w:lang w:val="uk-UA"/>
        </w:rPr>
        <w:t xml:space="preserve"> </w:t>
      </w:r>
      <w:r>
        <w:rPr>
          <w:rFonts w:ascii="Arial" w:hAnsi="Arial" w:cs="Arial"/>
          <w:sz w:val="22"/>
          <w:szCs w:val="22"/>
          <w:lang w:val="uk-UA"/>
        </w:rPr>
        <w:t>про</w:t>
      </w:r>
      <w:r w:rsidRPr="00733E1E">
        <w:rPr>
          <w:rFonts w:ascii="Arial" w:hAnsi="Arial" w:cs="Arial"/>
          <w:sz w:val="22"/>
          <w:szCs w:val="22"/>
          <w:lang w:val="uk-UA"/>
        </w:rPr>
        <w:t xml:space="preserve"> кільк</w:t>
      </w:r>
      <w:r>
        <w:rPr>
          <w:rFonts w:ascii="Arial" w:hAnsi="Arial" w:cs="Arial"/>
          <w:sz w:val="22"/>
          <w:szCs w:val="22"/>
          <w:lang w:val="uk-UA"/>
        </w:rPr>
        <w:t>і</w:t>
      </w:r>
      <w:r w:rsidRPr="00733E1E">
        <w:rPr>
          <w:rFonts w:ascii="Arial" w:hAnsi="Arial" w:cs="Arial"/>
          <w:sz w:val="22"/>
          <w:szCs w:val="22"/>
          <w:lang w:val="uk-UA"/>
        </w:rPr>
        <w:t>ст</w:t>
      </w:r>
      <w:r>
        <w:rPr>
          <w:rFonts w:ascii="Arial" w:hAnsi="Arial" w:cs="Arial"/>
          <w:sz w:val="22"/>
          <w:szCs w:val="22"/>
          <w:lang w:val="uk-UA"/>
        </w:rPr>
        <w:t>ь</w:t>
      </w:r>
      <w:r w:rsidRPr="00733E1E">
        <w:rPr>
          <w:rFonts w:ascii="Arial" w:hAnsi="Arial" w:cs="Arial"/>
          <w:sz w:val="22"/>
          <w:szCs w:val="22"/>
          <w:lang w:val="uk-UA"/>
        </w:rPr>
        <w:t xml:space="preserve"> промислових підприємств</w:t>
      </w:r>
      <w:r>
        <w:rPr>
          <w:rFonts w:ascii="Arial" w:hAnsi="Arial" w:cs="Arial"/>
          <w:sz w:val="22"/>
          <w:szCs w:val="22"/>
          <w:lang w:val="uk-UA"/>
        </w:rPr>
        <w:t>,</w:t>
      </w:r>
      <w:r w:rsidRPr="00733E1E">
        <w:rPr>
          <w:rFonts w:ascii="Arial" w:hAnsi="Arial" w:cs="Arial"/>
          <w:sz w:val="22"/>
          <w:szCs w:val="22"/>
          <w:lang w:val="uk-UA"/>
        </w:rPr>
        <w:t xml:space="preserve"> індекс</w:t>
      </w:r>
      <w:r>
        <w:rPr>
          <w:rFonts w:ascii="Arial" w:hAnsi="Arial" w:cs="Arial"/>
          <w:sz w:val="22"/>
          <w:szCs w:val="22"/>
          <w:lang w:val="uk-UA"/>
        </w:rPr>
        <w:t>и</w:t>
      </w:r>
      <w:r w:rsidRPr="00733E1E">
        <w:rPr>
          <w:rFonts w:ascii="Arial" w:hAnsi="Arial" w:cs="Arial"/>
          <w:sz w:val="22"/>
          <w:szCs w:val="22"/>
          <w:lang w:val="uk-UA"/>
        </w:rPr>
        <w:t xml:space="preserve"> промислової продукції, обсяг</w:t>
      </w:r>
      <w:r>
        <w:rPr>
          <w:rFonts w:ascii="Arial" w:hAnsi="Arial" w:cs="Arial"/>
          <w:sz w:val="22"/>
          <w:szCs w:val="22"/>
          <w:lang w:val="uk-UA"/>
        </w:rPr>
        <w:t>и</w:t>
      </w:r>
      <w:r w:rsidRPr="00733E1E">
        <w:rPr>
          <w:rFonts w:ascii="Arial" w:hAnsi="Arial" w:cs="Arial"/>
          <w:sz w:val="22"/>
          <w:szCs w:val="22"/>
          <w:lang w:val="uk-UA"/>
        </w:rPr>
        <w:t xml:space="preserve"> і структур</w:t>
      </w:r>
      <w:r>
        <w:rPr>
          <w:rFonts w:ascii="Arial" w:hAnsi="Arial" w:cs="Arial"/>
          <w:sz w:val="22"/>
          <w:szCs w:val="22"/>
          <w:lang w:val="uk-UA"/>
        </w:rPr>
        <w:t>у</w:t>
      </w:r>
      <w:r w:rsidRPr="00733E1E">
        <w:rPr>
          <w:rFonts w:ascii="Arial" w:hAnsi="Arial" w:cs="Arial"/>
          <w:sz w:val="22"/>
          <w:szCs w:val="22"/>
          <w:lang w:val="uk-UA"/>
        </w:rPr>
        <w:t xml:space="preserve"> реалізованої промислової продукції, індекс</w:t>
      </w:r>
      <w:r>
        <w:rPr>
          <w:rFonts w:ascii="Arial" w:hAnsi="Arial" w:cs="Arial"/>
          <w:sz w:val="22"/>
          <w:szCs w:val="22"/>
          <w:lang w:val="uk-UA"/>
        </w:rPr>
        <w:t>и</w:t>
      </w:r>
      <w:r w:rsidRPr="00733E1E">
        <w:rPr>
          <w:rFonts w:ascii="Arial" w:hAnsi="Arial" w:cs="Arial"/>
          <w:sz w:val="22"/>
          <w:szCs w:val="22"/>
          <w:lang w:val="uk-UA"/>
        </w:rPr>
        <w:t xml:space="preserve"> цін виробників промислової продукції</w:t>
      </w:r>
      <w:r>
        <w:rPr>
          <w:rFonts w:ascii="Arial" w:hAnsi="Arial" w:cs="Arial"/>
          <w:sz w:val="22"/>
          <w:szCs w:val="22"/>
          <w:lang w:val="uk-UA"/>
        </w:rPr>
        <w:t>,</w:t>
      </w:r>
      <w:r w:rsidRPr="00733E1E">
        <w:rPr>
          <w:rFonts w:ascii="Arial" w:hAnsi="Arial" w:cs="Arial"/>
          <w:sz w:val="22"/>
          <w:szCs w:val="22"/>
          <w:lang w:val="uk-UA"/>
        </w:rPr>
        <w:t xml:space="preserve"> середньообліков</w:t>
      </w:r>
      <w:r>
        <w:rPr>
          <w:rFonts w:ascii="Arial" w:hAnsi="Arial" w:cs="Arial"/>
          <w:sz w:val="22"/>
          <w:szCs w:val="22"/>
          <w:lang w:val="uk-UA"/>
        </w:rPr>
        <w:t>у</w:t>
      </w:r>
      <w:r w:rsidRPr="00733E1E">
        <w:rPr>
          <w:rFonts w:ascii="Arial" w:hAnsi="Arial" w:cs="Arial"/>
          <w:sz w:val="22"/>
          <w:szCs w:val="22"/>
          <w:lang w:val="uk-UA"/>
        </w:rPr>
        <w:t xml:space="preserve"> кільк</w:t>
      </w:r>
      <w:r>
        <w:rPr>
          <w:rFonts w:ascii="Arial" w:hAnsi="Arial" w:cs="Arial"/>
          <w:sz w:val="22"/>
          <w:szCs w:val="22"/>
          <w:lang w:val="uk-UA"/>
        </w:rPr>
        <w:t>і</w:t>
      </w:r>
      <w:r w:rsidRPr="00733E1E">
        <w:rPr>
          <w:rFonts w:ascii="Arial" w:hAnsi="Arial" w:cs="Arial"/>
          <w:sz w:val="22"/>
          <w:szCs w:val="22"/>
          <w:lang w:val="uk-UA"/>
        </w:rPr>
        <w:t>ст</w:t>
      </w:r>
      <w:r>
        <w:rPr>
          <w:rFonts w:ascii="Arial" w:hAnsi="Arial" w:cs="Arial"/>
          <w:sz w:val="22"/>
          <w:szCs w:val="22"/>
          <w:lang w:val="uk-UA"/>
        </w:rPr>
        <w:t>ь</w:t>
      </w:r>
      <w:r w:rsidRPr="00733E1E">
        <w:rPr>
          <w:rFonts w:ascii="Arial" w:hAnsi="Arial" w:cs="Arial"/>
          <w:sz w:val="22"/>
          <w:szCs w:val="22"/>
          <w:lang w:val="uk-UA"/>
        </w:rPr>
        <w:t xml:space="preserve"> штатних працівників та їхньої середньомісячної заробітної плати, структур</w:t>
      </w:r>
      <w:r>
        <w:rPr>
          <w:rFonts w:ascii="Arial" w:hAnsi="Arial" w:cs="Arial"/>
          <w:sz w:val="22"/>
          <w:szCs w:val="22"/>
          <w:lang w:val="uk-UA"/>
        </w:rPr>
        <w:t>у</w:t>
      </w:r>
      <w:r w:rsidRPr="00733E1E">
        <w:rPr>
          <w:rFonts w:ascii="Arial" w:hAnsi="Arial" w:cs="Arial"/>
          <w:sz w:val="22"/>
          <w:szCs w:val="22"/>
          <w:lang w:val="uk-UA"/>
        </w:rPr>
        <w:t xml:space="preserve"> й динамік</w:t>
      </w:r>
      <w:r>
        <w:rPr>
          <w:rFonts w:ascii="Arial" w:hAnsi="Arial" w:cs="Arial"/>
          <w:sz w:val="22"/>
          <w:szCs w:val="22"/>
          <w:lang w:val="uk-UA"/>
        </w:rPr>
        <w:t>у</w:t>
      </w:r>
      <w:r w:rsidRPr="00733E1E">
        <w:rPr>
          <w:rFonts w:ascii="Arial" w:hAnsi="Arial" w:cs="Arial"/>
          <w:sz w:val="22"/>
          <w:szCs w:val="22"/>
          <w:lang w:val="uk-UA"/>
        </w:rPr>
        <w:t xml:space="preserve"> капітальних інвестицій</w:t>
      </w:r>
      <w:r>
        <w:rPr>
          <w:rFonts w:ascii="Arial" w:hAnsi="Arial" w:cs="Arial"/>
          <w:sz w:val="22"/>
          <w:szCs w:val="22"/>
          <w:lang w:val="uk-UA"/>
        </w:rPr>
        <w:t>,</w:t>
      </w:r>
      <w:r w:rsidRPr="00733E1E">
        <w:rPr>
          <w:rFonts w:ascii="Arial" w:hAnsi="Arial" w:cs="Arial"/>
          <w:sz w:val="22"/>
          <w:szCs w:val="22"/>
          <w:lang w:val="uk-UA"/>
        </w:rPr>
        <w:t xml:space="preserve"> варт</w:t>
      </w:r>
      <w:r>
        <w:rPr>
          <w:rFonts w:ascii="Arial" w:hAnsi="Arial" w:cs="Arial"/>
          <w:sz w:val="22"/>
          <w:szCs w:val="22"/>
          <w:lang w:val="uk-UA"/>
        </w:rPr>
        <w:t>і</w:t>
      </w:r>
      <w:r w:rsidRPr="00733E1E">
        <w:rPr>
          <w:rFonts w:ascii="Arial" w:hAnsi="Arial" w:cs="Arial"/>
          <w:sz w:val="22"/>
          <w:szCs w:val="22"/>
          <w:lang w:val="uk-UA"/>
        </w:rPr>
        <w:t>ст</w:t>
      </w:r>
      <w:r>
        <w:rPr>
          <w:rFonts w:ascii="Arial" w:hAnsi="Arial" w:cs="Arial"/>
          <w:sz w:val="22"/>
          <w:szCs w:val="22"/>
          <w:lang w:val="uk-UA"/>
        </w:rPr>
        <w:t>ь</w:t>
      </w:r>
      <w:r w:rsidRPr="00733E1E">
        <w:rPr>
          <w:rFonts w:ascii="Arial" w:hAnsi="Arial" w:cs="Arial"/>
          <w:sz w:val="22"/>
          <w:szCs w:val="22"/>
          <w:lang w:val="uk-UA"/>
        </w:rPr>
        <w:t xml:space="preserve"> </w:t>
      </w:r>
      <w:r>
        <w:rPr>
          <w:rFonts w:ascii="Arial" w:hAnsi="Arial" w:cs="Arial"/>
          <w:sz w:val="22"/>
          <w:szCs w:val="22"/>
          <w:lang w:val="uk-UA"/>
        </w:rPr>
        <w:t>і</w:t>
      </w:r>
      <w:r w:rsidRPr="00733E1E">
        <w:rPr>
          <w:rFonts w:ascii="Arial" w:hAnsi="Arial" w:cs="Arial"/>
          <w:sz w:val="22"/>
          <w:szCs w:val="22"/>
          <w:lang w:val="uk-UA"/>
        </w:rPr>
        <w:t xml:space="preserve"> стан основних засобів, інноваційн</w:t>
      </w:r>
      <w:r>
        <w:rPr>
          <w:rFonts w:ascii="Arial" w:hAnsi="Arial" w:cs="Arial"/>
          <w:sz w:val="22"/>
          <w:szCs w:val="22"/>
          <w:lang w:val="uk-UA"/>
        </w:rPr>
        <w:t>у</w:t>
      </w:r>
      <w:r w:rsidRPr="00733E1E">
        <w:rPr>
          <w:rFonts w:ascii="Arial" w:hAnsi="Arial" w:cs="Arial"/>
          <w:sz w:val="22"/>
          <w:szCs w:val="22"/>
          <w:lang w:val="uk-UA"/>
        </w:rPr>
        <w:t xml:space="preserve"> діяльн</w:t>
      </w:r>
      <w:r>
        <w:rPr>
          <w:rFonts w:ascii="Arial" w:hAnsi="Arial" w:cs="Arial"/>
          <w:sz w:val="22"/>
          <w:szCs w:val="22"/>
          <w:lang w:val="uk-UA"/>
        </w:rPr>
        <w:t>і</w:t>
      </w:r>
      <w:r w:rsidRPr="00733E1E">
        <w:rPr>
          <w:rFonts w:ascii="Arial" w:hAnsi="Arial" w:cs="Arial"/>
          <w:sz w:val="22"/>
          <w:szCs w:val="22"/>
          <w:lang w:val="uk-UA"/>
        </w:rPr>
        <w:t>ст</w:t>
      </w:r>
      <w:r>
        <w:rPr>
          <w:rFonts w:ascii="Arial" w:hAnsi="Arial" w:cs="Arial"/>
          <w:sz w:val="22"/>
          <w:szCs w:val="22"/>
          <w:lang w:val="uk-UA"/>
        </w:rPr>
        <w:t>ь</w:t>
      </w:r>
      <w:r w:rsidRPr="00733E1E">
        <w:rPr>
          <w:rFonts w:ascii="Arial" w:hAnsi="Arial" w:cs="Arial"/>
          <w:sz w:val="22"/>
          <w:szCs w:val="22"/>
          <w:lang w:val="uk-UA"/>
        </w:rPr>
        <w:t xml:space="preserve"> підприємств, </w:t>
      </w:r>
      <w:r>
        <w:rPr>
          <w:rFonts w:ascii="Arial" w:hAnsi="Arial" w:cs="Arial"/>
          <w:sz w:val="22"/>
          <w:szCs w:val="22"/>
          <w:lang w:val="uk-UA"/>
        </w:rPr>
        <w:t>показники діяльності підприємств промисловості,</w:t>
      </w:r>
      <w:r w:rsidRPr="00BD73D1">
        <w:rPr>
          <w:rFonts w:ascii="Arial" w:hAnsi="Arial" w:cs="Arial"/>
          <w:sz w:val="22"/>
          <w:szCs w:val="22"/>
          <w:lang w:val="uk-UA"/>
        </w:rPr>
        <w:t xml:space="preserve"> </w:t>
      </w:r>
      <w:r>
        <w:rPr>
          <w:rFonts w:ascii="Arial" w:hAnsi="Arial" w:cs="Arial"/>
          <w:sz w:val="22"/>
          <w:szCs w:val="22"/>
          <w:lang w:val="uk-UA"/>
        </w:rPr>
        <w:t xml:space="preserve">у </w:t>
      </w:r>
      <w:proofErr w:type="spellStart"/>
      <w:r>
        <w:rPr>
          <w:rFonts w:ascii="Arial" w:hAnsi="Arial" w:cs="Arial"/>
          <w:sz w:val="22"/>
          <w:szCs w:val="22"/>
          <w:lang w:val="uk-UA"/>
        </w:rPr>
        <w:t>т.ч</w:t>
      </w:r>
      <w:proofErr w:type="spellEnd"/>
      <w:r>
        <w:rPr>
          <w:rFonts w:ascii="Arial" w:hAnsi="Arial" w:cs="Arial"/>
          <w:sz w:val="22"/>
          <w:szCs w:val="22"/>
          <w:lang w:val="uk-UA"/>
        </w:rPr>
        <w:t xml:space="preserve">. фінансовий стан, за їх розмірами, </w:t>
      </w:r>
      <w:r w:rsidRPr="00733E1E">
        <w:rPr>
          <w:rFonts w:ascii="Arial" w:hAnsi="Arial" w:cs="Arial"/>
          <w:sz w:val="22"/>
          <w:szCs w:val="22"/>
          <w:lang w:val="uk-UA"/>
        </w:rPr>
        <w:t>викид</w:t>
      </w:r>
      <w:r>
        <w:rPr>
          <w:rFonts w:ascii="Arial" w:hAnsi="Arial" w:cs="Arial"/>
          <w:sz w:val="22"/>
          <w:szCs w:val="22"/>
          <w:lang w:val="uk-UA"/>
        </w:rPr>
        <w:t>и</w:t>
      </w:r>
      <w:r w:rsidRPr="00733E1E">
        <w:rPr>
          <w:rFonts w:ascii="Arial" w:hAnsi="Arial" w:cs="Arial"/>
          <w:sz w:val="22"/>
          <w:szCs w:val="22"/>
          <w:lang w:val="uk-UA"/>
        </w:rPr>
        <w:t xml:space="preserve"> забруднюючих речовин у атмосферу</w:t>
      </w:r>
      <w:r>
        <w:rPr>
          <w:rFonts w:ascii="Arial" w:hAnsi="Arial" w:cs="Arial"/>
          <w:sz w:val="22"/>
          <w:szCs w:val="22"/>
          <w:lang w:val="uk-UA"/>
        </w:rPr>
        <w:t>.</w:t>
      </w:r>
    </w:p>
    <w:p w:rsidR="009640BA" w:rsidRPr="00733E1E" w:rsidRDefault="009640BA" w:rsidP="009640BA">
      <w:pPr>
        <w:spacing w:before="60" w:line="200" w:lineRule="exact"/>
        <w:ind w:firstLine="709"/>
        <w:jc w:val="both"/>
        <w:rPr>
          <w:rFonts w:ascii="Arial" w:hAnsi="Arial" w:cs="Arial"/>
          <w:sz w:val="22"/>
          <w:szCs w:val="22"/>
          <w:lang w:val="uk-UA"/>
        </w:rPr>
      </w:pPr>
      <w:r w:rsidRPr="00733E1E">
        <w:rPr>
          <w:rFonts w:ascii="Arial" w:hAnsi="Arial" w:cs="Arial"/>
          <w:sz w:val="22"/>
          <w:szCs w:val="22"/>
          <w:lang w:val="uk-UA"/>
        </w:rPr>
        <w:t>Значне місце у збірнику відведене статистичним даним про випуск промислової продукції. Зазначена інформація наводиться за Номенклатурою продукції промисловості (НПП), яка базується на Статистичній класифікації продукції за видами економічної діяльності Європейського Союзу (СРА, 2008) та Переліку продук</w:t>
      </w:r>
      <w:r w:rsidR="007C407E">
        <w:rPr>
          <w:rFonts w:ascii="Arial" w:hAnsi="Arial" w:cs="Arial"/>
          <w:sz w:val="22"/>
          <w:szCs w:val="22"/>
          <w:lang w:val="uk-UA"/>
        </w:rPr>
        <w:t>ції</w:t>
      </w:r>
      <w:r w:rsidRPr="00733E1E">
        <w:rPr>
          <w:rFonts w:ascii="Arial" w:hAnsi="Arial" w:cs="Arial"/>
          <w:sz w:val="22"/>
          <w:szCs w:val="22"/>
          <w:lang w:val="uk-UA"/>
        </w:rPr>
        <w:t xml:space="preserve"> для європейської статистики виробництва (</w:t>
      </w:r>
      <w:r w:rsidRPr="00733E1E">
        <w:rPr>
          <w:rFonts w:ascii="Arial" w:hAnsi="Arial" w:cs="Arial"/>
          <w:sz w:val="22"/>
          <w:szCs w:val="22"/>
          <w:lang w:val="en-US"/>
        </w:rPr>
        <w:t>PRODCOM</w:t>
      </w:r>
      <w:r w:rsidRPr="00733E1E">
        <w:rPr>
          <w:rFonts w:ascii="Arial" w:hAnsi="Arial" w:cs="Arial"/>
          <w:sz w:val="22"/>
          <w:szCs w:val="22"/>
          <w:lang w:val="uk-UA"/>
        </w:rPr>
        <w:t xml:space="preserve">), що дозволяє здійснювати </w:t>
      </w:r>
      <w:r>
        <w:rPr>
          <w:rFonts w:ascii="Arial" w:hAnsi="Arial" w:cs="Arial"/>
          <w:sz w:val="22"/>
          <w:szCs w:val="22"/>
          <w:lang w:val="uk-UA"/>
        </w:rPr>
        <w:t>порівняння</w:t>
      </w:r>
      <w:r w:rsidRPr="00733E1E">
        <w:rPr>
          <w:rFonts w:ascii="Arial" w:hAnsi="Arial" w:cs="Arial"/>
          <w:sz w:val="22"/>
          <w:szCs w:val="22"/>
          <w:lang w:val="uk-UA"/>
        </w:rPr>
        <w:t xml:space="preserve"> інформації як на національному, так і міжнародному рівні. </w:t>
      </w:r>
    </w:p>
    <w:p w:rsidR="009640BA" w:rsidRPr="00733E1E" w:rsidRDefault="009640BA" w:rsidP="009640BA">
      <w:pPr>
        <w:spacing w:before="60" w:line="200" w:lineRule="exact"/>
        <w:ind w:firstLine="709"/>
        <w:jc w:val="both"/>
        <w:rPr>
          <w:rFonts w:ascii="Arial" w:hAnsi="Arial" w:cs="Arial"/>
          <w:sz w:val="22"/>
          <w:szCs w:val="22"/>
          <w:lang w:val="uk-UA"/>
        </w:rPr>
      </w:pPr>
      <w:r w:rsidRPr="00733E1E">
        <w:rPr>
          <w:rFonts w:ascii="Arial" w:hAnsi="Arial" w:cs="Arial"/>
          <w:sz w:val="22"/>
          <w:szCs w:val="22"/>
          <w:lang w:val="uk-UA"/>
        </w:rPr>
        <w:t>У збірнику  інформація подається за видами економічної діяльності</w:t>
      </w:r>
      <w:r>
        <w:rPr>
          <w:rFonts w:ascii="Arial" w:hAnsi="Arial" w:cs="Arial"/>
          <w:sz w:val="22"/>
          <w:szCs w:val="22"/>
          <w:lang w:val="uk-UA"/>
        </w:rPr>
        <w:t>,</w:t>
      </w:r>
      <w:r w:rsidRPr="00733E1E">
        <w:rPr>
          <w:rFonts w:ascii="Arial" w:hAnsi="Arial" w:cs="Arial"/>
          <w:sz w:val="22"/>
          <w:szCs w:val="22"/>
          <w:lang w:val="uk-UA"/>
        </w:rPr>
        <w:t xml:space="preserve"> відповідно до Класифікації видів економічної діяльності (КВЕД) (ДК 009:2010)</w:t>
      </w:r>
      <w:r>
        <w:rPr>
          <w:rFonts w:ascii="Arial" w:hAnsi="Arial" w:cs="Arial"/>
          <w:sz w:val="22"/>
          <w:szCs w:val="22"/>
          <w:lang w:val="uk-UA"/>
        </w:rPr>
        <w:t>,</w:t>
      </w:r>
      <w:r w:rsidRPr="00733E1E">
        <w:rPr>
          <w:rFonts w:ascii="Arial" w:hAnsi="Arial" w:cs="Arial"/>
          <w:sz w:val="22"/>
          <w:szCs w:val="22"/>
          <w:lang w:val="uk-UA"/>
        </w:rPr>
        <w:t xml:space="preserve"> та регіонами, відповідно до Класифікатора об’єктів адміністративно-територіального устрою України (КОАТУУ). </w:t>
      </w:r>
    </w:p>
    <w:p w:rsidR="009640BA" w:rsidRPr="00733E1E" w:rsidRDefault="009640BA" w:rsidP="009640BA">
      <w:pPr>
        <w:spacing w:before="60" w:line="200" w:lineRule="exact"/>
        <w:ind w:firstLine="709"/>
        <w:jc w:val="both"/>
        <w:rPr>
          <w:rFonts w:ascii="Arial" w:hAnsi="Arial" w:cs="Arial"/>
          <w:sz w:val="22"/>
          <w:szCs w:val="22"/>
          <w:lang w:val="uk-UA"/>
        </w:rPr>
      </w:pPr>
      <w:r w:rsidRPr="00733E1E">
        <w:rPr>
          <w:rFonts w:ascii="Arial" w:hAnsi="Arial" w:cs="Arial"/>
          <w:sz w:val="22"/>
          <w:szCs w:val="22"/>
          <w:lang w:val="uk-UA"/>
        </w:rPr>
        <w:t>Дані за 2014-2015 роки наведено без урахування тимчасово окупованої території Автономної Республіки Крим, м. Севастополя та частини зони проведення антитерористичної операції</w:t>
      </w:r>
      <w:r>
        <w:rPr>
          <w:rFonts w:ascii="Arial" w:hAnsi="Arial" w:cs="Arial"/>
          <w:sz w:val="22"/>
          <w:szCs w:val="22"/>
          <w:lang w:val="uk-UA"/>
        </w:rPr>
        <w:t>. Д</w:t>
      </w:r>
      <w:r w:rsidRPr="00733E1E">
        <w:rPr>
          <w:rFonts w:ascii="Arial" w:hAnsi="Arial" w:cs="Arial"/>
          <w:sz w:val="22"/>
          <w:szCs w:val="22"/>
          <w:lang w:val="uk-UA"/>
        </w:rPr>
        <w:t xml:space="preserve">ані по Донецькій та Луганській областях можуть бути уточнені. Також збірник доповнено розділом, який містить </w:t>
      </w:r>
      <w:r>
        <w:rPr>
          <w:rFonts w:ascii="Arial" w:hAnsi="Arial" w:cs="Arial"/>
          <w:sz w:val="22"/>
          <w:szCs w:val="22"/>
          <w:lang w:val="uk-UA"/>
        </w:rPr>
        <w:t>окремі</w:t>
      </w:r>
      <w:r w:rsidRPr="00733E1E">
        <w:rPr>
          <w:rFonts w:ascii="Arial" w:hAnsi="Arial" w:cs="Arial"/>
          <w:sz w:val="22"/>
          <w:szCs w:val="22"/>
          <w:lang w:val="uk-UA"/>
        </w:rPr>
        <w:t xml:space="preserve"> показники промисловості за 2011-2015 роки без урахування тимчасово окупованої території Автономної Республіки Крим та м. Севастополя.</w:t>
      </w:r>
    </w:p>
    <w:p w:rsidR="009640BA" w:rsidRPr="00733E1E" w:rsidRDefault="009640BA" w:rsidP="009640BA">
      <w:pPr>
        <w:spacing w:before="60" w:line="200" w:lineRule="exact"/>
        <w:ind w:firstLine="709"/>
        <w:jc w:val="both"/>
        <w:rPr>
          <w:rFonts w:ascii="Arial" w:hAnsi="Arial" w:cs="Arial"/>
          <w:sz w:val="22"/>
          <w:szCs w:val="22"/>
          <w:lang w:val="uk-UA"/>
        </w:rPr>
      </w:pPr>
      <w:r w:rsidRPr="00733E1E">
        <w:rPr>
          <w:rFonts w:ascii="Arial" w:hAnsi="Arial" w:cs="Arial"/>
          <w:sz w:val="22"/>
          <w:szCs w:val="22"/>
          <w:lang w:val="uk-UA"/>
        </w:rPr>
        <w:t xml:space="preserve">Макроекономічні показники є попередніми </w:t>
      </w:r>
      <w:r>
        <w:rPr>
          <w:rFonts w:ascii="Arial" w:hAnsi="Arial" w:cs="Arial"/>
          <w:sz w:val="22"/>
          <w:szCs w:val="22"/>
          <w:lang w:val="uk-UA"/>
        </w:rPr>
        <w:t>та</w:t>
      </w:r>
      <w:r w:rsidRPr="00733E1E">
        <w:rPr>
          <w:rFonts w:ascii="Arial" w:hAnsi="Arial" w:cs="Arial"/>
          <w:sz w:val="22"/>
          <w:szCs w:val="22"/>
          <w:lang w:val="uk-UA"/>
        </w:rPr>
        <w:t xml:space="preserve"> будуть уточнені в </w:t>
      </w:r>
      <w:r>
        <w:rPr>
          <w:rFonts w:ascii="Arial" w:hAnsi="Arial" w:cs="Arial"/>
          <w:sz w:val="22"/>
          <w:szCs w:val="22"/>
          <w:lang w:val="uk-UA"/>
        </w:rPr>
        <w:t xml:space="preserve">подальших </w:t>
      </w:r>
      <w:r w:rsidRPr="00733E1E">
        <w:rPr>
          <w:rFonts w:ascii="Arial" w:hAnsi="Arial" w:cs="Arial"/>
          <w:sz w:val="22"/>
          <w:szCs w:val="22"/>
          <w:lang w:val="uk-UA"/>
        </w:rPr>
        <w:t>виданнях.</w:t>
      </w:r>
      <w:r>
        <w:rPr>
          <w:rFonts w:ascii="Arial" w:hAnsi="Arial" w:cs="Arial"/>
          <w:sz w:val="22"/>
          <w:szCs w:val="22"/>
          <w:lang w:val="uk-UA"/>
        </w:rPr>
        <w:t xml:space="preserve"> Деякі показники попередніх років уточнені відносно до раніше опублікованих.</w:t>
      </w:r>
    </w:p>
    <w:p w:rsidR="009640BA" w:rsidRDefault="009640BA" w:rsidP="009640BA">
      <w:pPr>
        <w:spacing w:before="60" w:line="200" w:lineRule="exact"/>
        <w:ind w:firstLine="709"/>
        <w:jc w:val="right"/>
        <w:rPr>
          <w:rFonts w:ascii="Arial" w:hAnsi="Arial" w:cs="Arial"/>
          <w:lang w:val="uk-UA"/>
        </w:rPr>
      </w:pPr>
    </w:p>
    <w:p w:rsidR="009640BA" w:rsidRDefault="009640BA" w:rsidP="009640BA">
      <w:pPr>
        <w:spacing w:before="60" w:line="200" w:lineRule="exact"/>
        <w:jc w:val="center"/>
        <w:rPr>
          <w:rStyle w:val="hps"/>
          <w:b/>
          <w:i/>
          <w:lang w:val="uk-UA"/>
        </w:rPr>
      </w:pPr>
    </w:p>
    <w:p w:rsidR="009640BA" w:rsidRPr="00833CF9" w:rsidRDefault="009640BA" w:rsidP="009640BA">
      <w:pPr>
        <w:spacing w:before="60" w:line="200" w:lineRule="exact"/>
        <w:ind w:firstLine="709"/>
        <w:jc w:val="both"/>
        <w:rPr>
          <w:rFonts w:ascii="Arial" w:hAnsi="Arial" w:cs="Arial"/>
          <w:i/>
          <w:sz w:val="22"/>
          <w:szCs w:val="22"/>
          <w:lang w:val="en-US" w:eastAsia="uk-UA"/>
        </w:rPr>
      </w:pPr>
      <w:r w:rsidRPr="00833CF9">
        <w:rPr>
          <w:rFonts w:ascii="Arial" w:hAnsi="Arial" w:cs="Arial"/>
          <w:i/>
          <w:sz w:val="22"/>
          <w:szCs w:val="22"/>
          <w:lang w:val="en-US" w:eastAsia="uk-UA"/>
        </w:rPr>
        <w:t xml:space="preserve">Statistical publication </w:t>
      </w:r>
      <w:r w:rsidR="00EA0569">
        <w:rPr>
          <w:rFonts w:ascii="Arial" w:hAnsi="Arial" w:cs="Arial"/>
          <w:i/>
          <w:sz w:val="22"/>
          <w:szCs w:val="22"/>
          <w:lang w:val="en-US" w:eastAsia="uk-UA"/>
        </w:rPr>
        <w:t>"</w:t>
      </w:r>
      <w:r w:rsidRPr="00833CF9">
        <w:rPr>
          <w:rFonts w:ascii="Arial" w:hAnsi="Arial" w:cs="Arial"/>
          <w:i/>
          <w:sz w:val="22"/>
          <w:szCs w:val="22"/>
          <w:lang w:val="en-US" w:eastAsia="uk-UA"/>
        </w:rPr>
        <w:t>Industry of Ukraine</w:t>
      </w:r>
      <w:r w:rsidR="00EA0569">
        <w:rPr>
          <w:rFonts w:ascii="Arial" w:hAnsi="Arial" w:cs="Arial"/>
          <w:i/>
          <w:sz w:val="22"/>
          <w:szCs w:val="22"/>
          <w:lang w:val="en-US" w:eastAsia="uk-UA"/>
        </w:rPr>
        <w:t>"</w:t>
      </w:r>
      <w:r w:rsidRPr="00833CF9">
        <w:rPr>
          <w:rFonts w:ascii="Arial" w:hAnsi="Arial" w:cs="Arial"/>
          <w:i/>
          <w:sz w:val="22"/>
          <w:szCs w:val="22"/>
          <w:lang w:val="en-US" w:eastAsia="uk-UA"/>
        </w:rPr>
        <w:t xml:space="preserve"> contains basic statistical indicators that characterize the status and development of Ukraine's industry in 2011-2015. </w:t>
      </w:r>
    </w:p>
    <w:p w:rsidR="009640BA" w:rsidRPr="00833CF9" w:rsidRDefault="009640BA" w:rsidP="009640BA">
      <w:pPr>
        <w:spacing w:before="60" w:line="200" w:lineRule="exact"/>
        <w:ind w:firstLine="709"/>
        <w:jc w:val="both"/>
        <w:rPr>
          <w:rFonts w:ascii="Arial" w:hAnsi="Arial" w:cs="Arial"/>
          <w:i/>
          <w:sz w:val="22"/>
          <w:szCs w:val="22"/>
          <w:lang w:val="en-US" w:eastAsia="uk-UA"/>
        </w:rPr>
      </w:pPr>
      <w:r w:rsidRPr="00833CF9">
        <w:rPr>
          <w:rFonts w:ascii="Arial" w:hAnsi="Arial" w:cs="Arial"/>
          <w:i/>
          <w:sz w:val="22"/>
          <w:szCs w:val="22"/>
          <w:lang w:val="en-US" w:eastAsia="uk-UA"/>
        </w:rPr>
        <w:t xml:space="preserve">The publication includes </w:t>
      </w:r>
      <w:r>
        <w:rPr>
          <w:rFonts w:ascii="Arial" w:hAnsi="Arial" w:cs="Arial"/>
          <w:i/>
          <w:sz w:val="22"/>
          <w:szCs w:val="22"/>
          <w:lang w:val="en-US" w:eastAsia="uk-UA"/>
        </w:rPr>
        <w:t>d</w:t>
      </w:r>
      <w:r w:rsidRPr="00833CF9">
        <w:rPr>
          <w:rFonts w:ascii="Arial" w:hAnsi="Arial" w:cs="Arial"/>
          <w:i/>
          <w:sz w:val="22"/>
          <w:szCs w:val="22"/>
          <w:lang w:val="en-US" w:eastAsia="uk-UA"/>
        </w:rPr>
        <w:t>ata on the number of industrial enterprises</w:t>
      </w:r>
      <w:r>
        <w:rPr>
          <w:rFonts w:ascii="Arial" w:hAnsi="Arial" w:cs="Arial"/>
          <w:i/>
          <w:sz w:val="22"/>
          <w:szCs w:val="22"/>
          <w:lang w:val="uk-UA" w:eastAsia="uk-UA"/>
        </w:rPr>
        <w:t>,</w:t>
      </w:r>
      <w:r w:rsidRPr="00833CF9">
        <w:rPr>
          <w:rFonts w:ascii="Arial" w:hAnsi="Arial" w:cs="Arial"/>
          <w:i/>
          <w:sz w:val="22"/>
          <w:szCs w:val="22"/>
          <w:lang w:val="en-US" w:eastAsia="uk-UA"/>
        </w:rPr>
        <w:t xml:space="preserve"> indices of industrial products, volumes and structure of the sold industrial products, industrial producer price</w:t>
      </w:r>
      <w:r w:rsidR="002F7227" w:rsidRPr="002F7227">
        <w:rPr>
          <w:rFonts w:ascii="Arial" w:hAnsi="Arial" w:cs="Arial"/>
          <w:i/>
          <w:sz w:val="22"/>
          <w:szCs w:val="22"/>
          <w:lang w:val="en-US" w:eastAsia="uk-UA"/>
        </w:rPr>
        <w:t xml:space="preserve"> </w:t>
      </w:r>
      <w:r w:rsidR="002F7227" w:rsidRPr="00833CF9">
        <w:rPr>
          <w:rFonts w:ascii="Arial" w:hAnsi="Arial" w:cs="Arial"/>
          <w:i/>
          <w:sz w:val="22"/>
          <w:szCs w:val="22"/>
          <w:lang w:val="en-US" w:eastAsia="uk-UA"/>
        </w:rPr>
        <w:t>indices</w:t>
      </w:r>
      <w:r>
        <w:rPr>
          <w:rFonts w:ascii="Arial" w:hAnsi="Arial" w:cs="Arial"/>
          <w:i/>
          <w:sz w:val="22"/>
          <w:szCs w:val="22"/>
          <w:lang w:val="uk-UA" w:eastAsia="uk-UA"/>
        </w:rPr>
        <w:t>,</w:t>
      </w:r>
      <w:r w:rsidRPr="00833CF9">
        <w:rPr>
          <w:rFonts w:ascii="Arial" w:hAnsi="Arial" w:cs="Arial"/>
          <w:i/>
          <w:sz w:val="22"/>
          <w:szCs w:val="22"/>
          <w:lang w:val="en-US" w:eastAsia="uk-UA"/>
        </w:rPr>
        <w:t xml:space="preserve"> average number of regular employees and their average monthly wages, structure and movements of capital investment</w:t>
      </w:r>
      <w:r w:rsidRPr="00BF4876">
        <w:rPr>
          <w:rFonts w:ascii="Arial" w:hAnsi="Arial" w:cs="Arial"/>
          <w:i/>
          <w:sz w:val="22"/>
          <w:szCs w:val="22"/>
          <w:lang w:val="en-US" w:eastAsia="uk-UA"/>
        </w:rPr>
        <w:t>,</w:t>
      </w:r>
      <w:r w:rsidRPr="00833CF9">
        <w:rPr>
          <w:rFonts w:ascii="Arial" w:hAnsi="Arial" w:cs="Arial"/>
          <w:i/>
          <w:sz w:val="22"/>
          <w:szCs w:val="22"/>
          <w:lang w:val="en-US" w:eastAsia="uk-UA"/>
        </w:rPr>
        <w:t xml:space="preserve"> value and condition of fixed  assets, inno</w:t>
      </w:r>
      <w:r>
        <w:rPr>
          <w:rFonts w:ascii="Arial" w:hAnsi="Arial" w:cs="Arial"/>
          <w:i/>
          <w:sz w:val="22"/>
          <w:szCs w:val="22"/>
          <w:lang w:val="en-US" w:eastAsia="uk-UA"/>
        </w:rPr>
        <w:t>vation activity of enterprises, activity of industrial enterprises</w:t>
      </w:r>
      <w:r w:rsidR="00EA0569">
        <w:rPr>
          <w:rFonts w:ascii="Arial" w:hAnsi="Arial" w:cs="Arial"/>
          <w:i/>
          <w:sz w:val="22"/>
          <w:szCs w:val="22"/>
          <w:lang w:val="uk-UA" w:eastAsia="uk-UA"/>
        </w:rPr>
        <w:t>, including</w:t>
      </w:r>
      <w:r w:rsidRPr="00BF4876">
        <w:rPr>
          <w:rFonts w:ascii="Arial" w:hAnsi="Arial" w:cs="Arial"/>
          <w:i/>
          <w:sz w:val="22"/>
          <w:szCs w:val="22"/>
          <w:lang w:val="en-US" w:eastAsia="uk-UA"/>
        </w:rPr>
        <w:t xml:space="preserve"> the</w:t>
      </w:r>
      <w:r w:rsidR="002F7227">
        <w:rPr>
          <w:rFonts w:ascii="Arial" w:hAnsi="Arial" w:cs="Arial"/>
          <w:i/>
          <w:sz w:val="22"/>
          <w:szCs w:val="22"/>
          <w:lang w:val="en-US" w:eastAsia="uk-UA"/>
        </w:rPr>
        <w:t>ir</w:t>
      </w:r>
      <w:r w:rsidRPr="00BF4876">
        <w:rPr>
          <w:rFonts w:ascii="Arial" w:hAnsi="Arial" w:cs="Arial"/>
          <w:i/>
          <w:sz w:val="22"/>
          <w:szCs w:val="22"/>
          <w:lang w:val="en-US" w:eastAsia="uk-UA"/>
        </w:rPr>
        <w:t xml:space="preserve"> financial situation</w:t>
      </w:r>
      <w:r w:rsidR="002F7227">
        <w:rPr>
          <w:rFonts w:ascii="Arial" w:hAnsi="Arial" w:cs="Arial"/>
          <w:i/>
          <w:sz w:val="22"/>
          <w:szCs w:val="22"/>
          <w:lang w:val="en-US" w:eastAsia="uk-UA"/>
        </w:rPr>
        <w:t xml:space="preserve"> and</w:t>
      </w:r>
      <w:r>
        <w:rPr>
          <w:rFonts w:ascii="Arial" w:hAnsi="Arial" w:cs="Arial"/>
          <w:i/>
          <w:sz w:val="22"/>
          <w:szCs w:val="22"/>
          <w:lang w:val="en-US" w:eastAsia="uk-UA"/>
        </w:rPr>
        <w:t xml:space="preserve"> by size,</w:t>
      </w:r>
      <w:r w:rsidRPr="00BF4876">
        <w:rPr>
          <w:rFonts w:ascii="Arial" w:hAnsi="Arial" w:cs="Arial"/>
          <w:i/>
          <w:sz w:val="22"/>
          <w:szCs w:val="22"/>
          <w:lang w:val="en-US" w:eastAsia="uk-UA"/>
        </w:rPr>
        <w:t xml:space="preserve"> </w:t>
      </w:r>
      <w:r w:rsidR="00EA0569">
        <w:rPr>
          <w:rFonts w:ascii="Arial" w:hAnsi="Arial" w:cs="Arial"/>
          <w:i/>
          <w:sz w:val="22"/>
          <w:szCs w:val="22"/>
          <w:lang w:val="en-US" w:eastAsia="uk-UA"/>
        </w:rPr>
        <w:t xml:space="preserve">emissions of </w:t>
      </w:r>
      <w:r w:rsidRPr="00833CF9">
        <w:rPr>
          <w:rFonts w:ascii="Arial" w:hAnsi="Arial" w:cs="Arial"/>
          <w:i/>
          <w:sz w:val="22"/>
          <w:szCs w:val="22"/>
          <w:lang w:val="en-US" w:eastAsia="uk-UA"/>
        </w:rPr>
        <w:t xml:space="preserve">pollutants </w:t>
      </w:r>
      <w:r w:rsidR="002F7227">
        <w:rPr>
          <w:rFonts w:ascii="Arial" w:hAnsi="Arial" w:cs="Arial"/>
          <w:i/>
          <w:sz w:val="22"/>
          <w:szCs w:val="22"/>
          <w:lang w:val="en-US" w:eastAsia="uk-UA"/>
        </w:rPr>
        <w:t>into the atmosphere</w:t>
      </w:r>
      <w:r w:rsidRPr="00833CF9">
        <w:rPr>
          <w:rFonts w:ascii="Arial" w:hAnsi="Arial" w:cs="Arial"/>
          <w:i/>
          <w:sz w:val="22"/>
          <w:szCs w:val="22"/>
          <w:lang w:val="en-US" w:eastAsia="uk-UA"/>
        </w:rPr>
        <w:t xml:space="preserve">. </w:t>
      </w:r>
    </w:p>
    <w:p w:rsidR="009640BA" w:rsidRPr="00833CF9" w:rsidRDefault="009640BA" w:rsidP="009640BA">
      <w:pPr>
        <w:spacing w:before="60" w:line="200" w:lineRule="exact"/>
        <w:ind w:firstLine="709"/>
        <w:jc w:val="both"/>
        <w:rPr>
          <w:rFonts w:ascii="Arial" w:hAnsi="Arial" w:cs="Arial"/>
          <w:i/>
          <w:sz w:val="22"/>
          <w:szCs w:val="22"/>
          <w:lang w:val="en-US" w:eastAsia="uk-UA"/>
        </w:rPr>
      </w:pPr>
      <w:r w:rsidRPr="00833CF9">
        <w:rPr>
          <w:rFonts w:ascii="Arial" w:hAnsi="Arial" w:cs="Arial"/>
          <w:i/>
          <w:sz w:val="22"/>
          <w:szCs w:val="22"/>
          <w:lang w:val="en-US" w:eastAsia="uk-UA"/>
        </w:rPr>
        <w:t>A significant place in the publication is occupied by statistical data o</w:t>
      </w:r>
      <w:r w:rsidR="002F7227">
        <w:rPr>
          <w:rFonts w:ascii="Arial" w:hAnsi="Arial" w:cs="Arial"/>
          <w:i/>
          <w:sz w:val="22"/>
          <w:szCs w:val="22"/>
          <w:lang w:val="en-US" w:eastAsia="uk-UA"/>
        </w:rPr>
        <w:t>n</w:t>
      </w:r>
      <w:r w:rsidRPr="00833CF9">
        <w:rPr>
          <w:rFonts w:ascii="Arial" w:hAnsi="Arial" w:cs="Arial"/>
          <w:i/>
          <w:sz w:val="22"/>
          <w:szCs w:val="22"/>
          <w:lang w:val="en-US" w:eastAsia="uk-UA"/>
        </w:rPr>
        <w:t xml:space="preserve"> industrial products</w:t>
      </w:r>
      <w:r w:rsidR="002F7227" w:rsidRPr="002F7227">
        <w:rPr>
          <w:rFonts w:ascii="Arial" w:hAnsi="Arial" w:cs="Arial"/>
          <w:i/>
          <w:sz w:val="22"/>
          <w:szCs w:val="22"/>
          <w:lang w:val="en-US" w:eastAsia="uk-UA"/>
        </w:rPr>
        <w:t xml:space="preserve"> </w:t>
      </w:r>
      <w:r w:rsidR="002F7227" w:rsidRPr="00833CF9">
        <w:rPr>
          <w:rFonts w:ascii="Arial" w:hAnsi="Arial" w:cs="Arial"/>
          <w:i/>
          <w:sz w:val="22"/>
          <w:szCs w:val="22"/>
          <w:lang w:val="en-US" w:eastAsia="uk-UA"/>
        </w:rPr>
        <w:t>output</w:t>
      </w:r>
      <w:r w:rsidRPr="00833CF9">
        <w:rPr>
          <w:rFonts w:ascii="Arial" w:hAnsi="Arial" w:cs="Arial"/>
          <w:i/>
          <w:sz w:val="22"/>
          <w:szCs w:val="22"/>
          <w:lang w:val="en-US" w:eastAsia="uk-UA"/>
        </w:rPr>
        <w:t xml:space="preserve">. The mentioned information is given according to the Nomenclature of Industrial Products (NIP) which is based on the </w:t>
      </w:r>
      <w:r w:rsidR="007C407E">
        <w:rPr>
          <w:rFonts w:ascii="Arial" w:hAnsi="Arial" w:cs="Arial"/>
          <w:i/>
          <w:sz w:val="22"/>
          <w:szCs w:val="22"/>
          <w:lang w:val="en-US" w:eastAsia="uk-UA"/>
        </w:rPr>
        <w:t>S</w:t>
      </w:r>
      <w:r w:rsidRPr="00833CF9">
        <w:rPr>
          <w:rFonts w:ascii="Arial" w:hAnsi="Arial" w:cs="Arial"/>
          <w:i/>
          <w:sz w:val="22"/>
          <w:szCs w:val="22"/>
          <w:lang w:val="en-US" w:eastAsia="uk-UA"/>
        </w:rPr>
        <w:t>tatistical classification of products by type of economic activity of the Euro</w:t>
      </w:r>
      <w:r w:rsidR="007C407E">
        <w:rPr>
          <w:rFonts w:ascii="Arial" w:hAnsi="Arial" w:cs="Arial"/>
          <w:i/>
          <w:sz w:val="22"/>
          <w:szCs w:val="22"/>
          <w:lang w:val="en-US" w:eastAsia="uk-UA"/>
        </w:rPr>
        <w:t>pean Union (CPA, 2008) and the L</w:t>
      </w:r>
      <w:r w:rsidRPr="00833CF9">
        <w:rPr>
          <w:rFonts w:ascii="Arial" w:hAnsi="Arial" w:cs="Arial"/>
          <w:i/>
          <w:sz w:val="22"/>
          <w:szCs w:val="22"/>
          <w:lang w:val="en-US" w:eastAsia="uk-UA"/>
        </w:rPr>
        <w:t xml:space="preserve">ist of products for the European production statistics (PRODCOM) </w:t>
      </w:r>
      <w:r w:rsidR="002F7227">
        <w:rPr>
          <w:rFonts w:ascii="Arial" w:hAnsi="Arial" w:cs="Arial"/>
          <w:i/>
          <w:sz w:val="22"/>
          <w:szCs w:val="22"/>
          <w:lang w:val="en-US" w:eastAsia="uk-UA"/>
        </w:rPr>
        <w:t>this</w:t>
      </w:r>
      <w:r w:rsidR="00EA0569">
        <w:rPr>
          <w:rFonts w:ascii="Arial" w:hAnsi="Arial" w:cs="Arial"/>
          <w:i/>
          <w:sz w:val="22"/>
          <w:szCs w:val="22"/>
          <w:lang w:val="en-US" w:eastAsia="uk-UA"/>
        </w:rPr>
        <w:t xml:space="preserve"> allows making</w:t>
      </w:r>
      <w:r w:rsidRPr="00833CF9">
        <w:rPr>
          <w:rFonts w:ascii="Arial" w:hAnsi="Arial" w:cs="Arial"/>
          <w:i/>
          <w:sz w:val="22"/>
          <w:szCs w:val="22"/>
          <w:lang w:val="en-US" w:eastAsia="uk-UA"/>
        </w:rPr>
        <w:t xml:space="preserve"> the relevant comparisons of information both at the national and international levels.</w:t>
      </w:r>
    </w:p>
    <w:p w:rsidR="009640BA" w:rsidRPr="00833CF9" w:rsidRDefault="009640BA" w:rsidP="009640BA">
      <w:pPr>
        <w:spacing w:before="60" w:line="200" w:lineRule="exact"/>
        <w:ind w:firstLine="709"/>
        <w:jc w:val="both"/>
        <w:rPr>
          <w:rFonts w:ascii="Arial" w:hAnsi="Arial" w:cs="Arial"/>
          <w:i/>
          <w:sz w:val="22"/>
          <w:szCs w:val="22"/>
          <w:lang w:val="en-US" w:eastAsia="uk-UA"/>
        </w:rPr>
      </w:pPr>
      <w:r w:rsidRPr="00833CF9">
        <w:rPr>
          <w:rFonts w:ascii="Arial" w:hAnsi="Arial" w:cs="Arial"/>
          <w:i/>
          <w:sz w:val="22"/>
          <w:szCs w:val="22"/>
          <w:lang w:val="en-US" w:eastAsia="uk-UA"/>
        </w:rPr>
        <w:t>The publication presents information by type of economic activity in accordance with the Classification of Types of Economic Activity (KVED) (S</w:t>
      </w:r>
      <w:r w:rsidR="00EA0569">
        <w:rPr>
          <w:rFonts w:ascii="Arial" w:hAnsi="Arial" w:cs="Arial"/>
          <w:i/>
          <w:sz w:val="22"/>
          <w:szCs w:val="22"/>
          <w:lang w:val="en-US" w:eastAsia="uk-UA"/>
        </w:rPr>
        <w:t xml:space="preserve">tate Classifier 009:2010) and by region </w:t>
      </w:r>
      <w:r w:rsidRPr="00833CF9">
        <w:rPr>
          <w:rFonts w:ascii="Arial" w:hAnsi="Arial" w:cs="Arial"/>
          <w:i/>
          <w:sz w:val="22"/>
          <w:szCs w:val="22"/>
          <w:lang w:val="en-US" w:eastAsia="uk-UA"/>
        </w:rPr>
        <w:t xml:space="preserve">in line with the Classifier of Objects of Administrative and Territorial Division of Ukraine (KOATU). </w:t>
      </w:r>
    </w:p>
    <w:p w:rsidR="009640BA" w:rsidRPr="00833CF9" w:rsidRDefault="009640BA" w:rsidP="009640BA">
      <w:pPr>
        <w:spacing w:before="60" w:line="200" w:lineRule="exact"/>
        <w:ind w:firstLine="709"/>
        <w:jc w:val="both"/>
        <w:rPr>
          <w:rFonts w:ascii="Arial" w:hAnsi="Arial" w:cs="Arial"/>
          <w:i/>
          <w:sz w:val="22"/>
          <w:szCs w:val="22"/>
          <w:lang w:val="en-US" w:eastAsia="uk-UA"/>
        </w:rPr>
      </w:pPr>
      <w:r w:rsidRPr="00833CF9">
        <w:rPr>
          <w:rFonts w:ascii="Arial" w:hAnsi="Arial" w:cs="Arial"/>
          <w:i/>
          <w:sz w:val="22"/>
          <w:szCs w:val="22"/>
          <w:lang w:val="en-US" w:eastAsia="uk-UA"/>
        </w:rPr>
        <w:t>Data for 2014-2015 exclude the temporarily occupied territory of the Autonomous Republic of Crimea, the city of Sevastopol and part of the zone where anti-terrorist operation is conducted</w:t>
      </w:r>
      <w:r>
        <w:rPr>
          <w:rFonts w:ascii="Arial" w:hAnsi="Arial" w:cs="Arial"/>
          <w:i/>
          <w:sz w:val="22"/>
          <w:szCs w:val="22"/>
          <w:lang w:val="uk-UA" w:eastAsia="uk-UA"/>
        </w:rPr>
        <w:t xml:space="preserve">. </w:t>
      </w:r>
      <w:r w:rsidRPr="00833CF9">
        <w:rPr>
          <w:rFonts w:ascii="Arial" w:hAnsi="Arial" w:cs="Arial"/>
          <w:i/>
          <w:sz w:val="22"/>
          <w:szCs w:val="22"/>
          <w:lang w:val="en-US" w:eastAsia="uk-UA"/>
        </w:rPr>
        <w:t xml:space="preserve">Data on the Donetsk and </w:t>
      </w:r>
      <w:proofErr w:type="spellStart"/>
      <w:r w:rsidRPr="00833CF9">
        <w:rPr>
          <w:rFonts w:ascii="Arial" w:hAnsi="Arial" w:cs="Arial"/>
          <w:i/>
          <w:sz w:val="22"/>
          <w:szCs w:val="22"/>
          <w:lang w:val="en-US" w:eastAsia="uk-UA"/>
        </w:rPr>
        <w:t>Luhansk</w:t>
      </w:r>
      <w:proofErr w:type="spellEnd"/>
      <w:r w:rsidRPr="00833CF9">
        <w:rPr>
          <w:rFonts w:ascii="Arial" w:hAnsi="Arial" w:cs="Arial"/>
          <w:i/>
          <w:sz w:val="22"/>
          <w:szCs w:val="22"/>
          <w:lang w:val="en-US" w:eastAsia="uk-UA"/>
        </w:rPr>
        <w:t xml:space="preserve"> regions can be refined. </w:t>
      </w:r>
      <w:proofErr w:type="gramStart"/>
      <w:r w:rsidRPr="00833CF9">
        <w:rPr>
          <w:rFonts w:ascii="Arial" w:hAnsi="Arial" w:cs="Arial"/>
          <w:i/>
          <w:sz w:val="22"/>
          <w:szCs w:val="22"/>
          <w:lang w:val="en-US" w:eastAsia="uk-UA"/>
        </w:rPr>
        <w:t>Also</w:t>
      </w:r>
      <w:proofErr w:type="gramEnd"/>
      <w:r w:rsidRPr="00833CF9">
        <w:rPr>
          <w:rFonts w:ascii="Arial" w:hAnsi="Arial" w:cs="Arial"/>
          <w:i/>
          <w:sz w:val="22"/>
          <w:szCs w:val="22"/>
          <w:lang w:val="en-US" w:eastAsia="uk-UA"/>
        </w:rPr>
        <w:t xml:space="preserve">, the publication is supplemented by the section containing </w:t>
      </w:r>
      <w:r w:rsidRPr="000C40AB">
        <w:rPr>
          <w:rFonts w:ascii="Arial" w:hAnsi="Arial" w:cs="Arial"/>
          <w:i/>
          <w:sz w:val="22"/>
          <w:szCs w:val="22"/>
          <w:lang w:val="en-US" w:eastAsia="uk-UA"/>
        </w:rPr>
        <w:t>selected</w:t>
      </w:r>
      <w:r w:rsidRPr="00833CF9">
        <w:rPr>
          <w:rFonts w:ascii="Arial" w:hAnsi="Arial" w:cs="Arial"/>
          <w:i/>
          <w:sz w:val="22"/>
          <w:szCs w:val="22"/>
          <w:lang w:val="en-US" w:eastAsia="uk-UA"/>
        </w:rPr>
        <w:t xml:space="preserve"> </w:t>
      </w:r>
      <w:r>
        <w:rPr>
          <w:rFonts w:ascii="Arial" w:hAnsi="Arial" w:cs="Arial"/>
          <w:i/>
          <w:sz w:val="22"/>
          <w:szCs w:val="22"/>
          <w:lang w:val="en-US" w:eastAsia="uk-UA"/>
        </w:rPr>
        <w:t>i</w:t>
      </w:r>
      <w:r w:rsidRPr="00833CF9">
        <w:rPr>
          <w:rFonts w:ascii="Arial" w:hAnsi="Arial" w:cs="Arial"/>
          <w:i/>
          <w:sz w:val="22"/>
          <w:szCs w:val="22"/>
          <w:lang w:val="en-US" w:eastAsia="uk-UA"/>
        </w:rPr>
        <w:t xml:space="preserve">ndicators of industry for 2011-2015 excluding the temporarily occupied territory of the Autonomous Republic of Crimea and the city of Sevastopol. </w:t>
      </w:r>
    </w:p>
    <w:p w:rsidR="009640BA" w:rsidRPr="00183926" w:rsidRDefault="009640BA" w:rsidP="009640BA">
      <w:pPr>
        <w:spacing w:before="60" w:line="200" w:lineRule="exact"/>
        <w:ind w:firstLine="709"/>
        <w:jc w:val="both"/>
        <w:rPr>
          <w:rFonts w:ascii="Arial" w:hAnsi="Arial" w:cs="Arial"/>
          <w:i/>
          <w:sz w:val="22"/>
          <w:szCs w:val="22"/>
          <w:lang w:val="uk-UA"/>
        </w:rPr>
      </w:pPr>
      <w:r w:rsidRPr="00833CF9">
        <w:rPr>
          <w:rFonts w:ascii="Arial" w:hAnsi="Arial" w:cs="Arial"/>
          <w:i/>
          <w:sz w:val="22"/>
          <w:szCs w:val="22"/>
          <w:lang w:val="en-US" w:eastAsia="uk-UA"/>
        </w:rPr>
        <w:t>Macroeconomic indicators are preliminary and will be revised in the forthcoming editions.</w:t>
      </w:r>
      <w:r>
        <w:rPr>
          <w:rFonts w:ascii="Arial" w:hAnsi="Arial" w:cs="Arial"/>
          <w:i/>
          <w:sz w:val="22"/>
          <w:szCs w:val="22"/>
          <w:lang w:val="uk-UA" w:eastAsia="uk-UA"/>
        </w:rPr>
        <w:t xml:space="preserve"> </w:t>
      </w:r>
      <w:r w:rsidRPr="00833CF9">
        <w:rPr>
          <w:rFonts w:ascii="Arial" w:hAnsi="Arial" w:cs="Arial"/>
          <w:i/>
          <w:sz w:val="22"/>
          <w:szCs w:val="22"/>
          <w:lang w:val="en-US" w:eastAsia="uk-UA"/>
        </w:rPr>
        <w:t>Some indicators have been revised at compared to those previously published.</w:t>
      </w:r>
    </w:p>
    <w:tbl>
      <w:tblPr>
        <w:tblW w:w="5000" w:type="pct"/>
        <w:tblLook w:val="01E0" w:firstRow="1" w:lastRow="1" w:firstColumn="1" w:lastColumn="1" w:noHBand="0" w:noVBand="0"/>
      </w:tblPr>
      <w:tblGrid>
        <w:gridCol w:w="9070"/>
      </w:tblGrid>
      <w:tr w:rsidR="009640BA" w:rsidRPr="00D8392C" w:rsidTr="00DB1A73">
        <w:tc>
          <w:tcPr>
            <w:tcW w:w="5000" w:type="pct"/>
            <w:shd w:val="clear" w:color="auto" w:fill="auto"/>
          </w:tcPr>
          <w:p w:rsidR="009640BA" w:rsidRPr="00D8392C" w:rsidRDefault="009640BA" w:rsidP="009640BA">
            <w:pPr>
              <w:pageBreakBefore/>
              <w:autoSpaceDE w:val="0"/>
              <w:autoSpaceDN w:val="0"/>
              <w:adjustRightInd w:val="0"/>
              <w:rPr>
                <w:rFonts w:ascii="Arial" w:hAnsi="Arial" w:cs="Arial"/>
                <w:b/>
                <w:sz w:val="22"/>
                <w:szCs w:val="22"/>
                <w:lang w:val="en-GB"/>
              </w:rPr>
            </w:pPr>
            <w:r w:rsidRPr="009640BA">
              <w:rPr>
                <w:rFonts w:ascii="Arial" w:hAnsi="Arial"/>
                <w:b/>
                <w:caps/>
                <w:noProof/>
                <w:lang w:val="uk-UA"/>
              </w:rPr>
              <w:lastRenderedPageBreak/>
              <w:t>Скорочення</w:t>
            </w:r>
            <w:r>
              <w:rPr>
                <w:rFonts w:ascii="Arial" w:hAnsi="Arial"/>
                <w:caps/>
                <w:noProof/>
                <w:lang w:val="uk-UA"/>
              </w:rPr>
              <w:t xml:space="preserve"> /</w:t>
            </w:r>
            <w:r w:rsidRPr="00D8392C">
              <w:rPr>
                <w:rFonts w:ascii="Arial" w:hAnsi="Arial"/>
                <w:i/>
                <w:caps/>
                <w:noProof/>
                <w:lang w:val="uk-UA"/>
              </w:rPr>
              <w:t xml:space="preserve"> ABBREVIATIONS</w:t>
            </w:r>
          </w:p>
        </w:tc>
      </w:tr>
      <w:tr w:rsidR="009640BA" w:rsidRPr="00D8392C" w:rsidTr="00DB1A73">
        <w:tc>
          <w:tcPr>
            <w:tcW w:w="5000" w:type="pct"/>
            <w:shd w:val="clear" w:color="auto" w:fill="auto"/>
          </w:tcPr>
          <w:p w:rsidR="009640BA" w:rsidRPr="00D8392C" w:rsidRDefault="009640BA" w:rsidP="00DB1A73">
            <w:pPr>
              <w:rPr>
                <w:rFonts w:ascii="Arial" w:hAnsi="Arial" w:cs="Arial"/>
                <w:noProof/>
                <w:sz w:val="18"/>
                <w:szCs w:val="18"/>
                <w:lang w:val="en-US"/>
              </w:rPr>
            </w:pPr>
          </w:p>
        </w:tc>
      </w:tr>
      <w:tr w:rsidR="009640BA" w:rsidRPr="00D8392C" w:rsidTr="00DB1A73">
        <w:tc>
          <w:tcPr>
            <w:tcW w:w="5000" w:type="pct"/>
            <w:shd w:val="clear" w:color="auto" w:fill="auto"/>
          </w:tcPr>
          <w:p w:rsidR="009640BA" w:rsidRPr="00D8392C" w:rsidRDefault="009640BA" w:rsidP="00DB1A73">
            <w:pPr>
              <w:spacing w:line="200" w:lineRule="exact"/>
              <w:rPr>
                <w:rFonts w:ascii="Arial" w:hAnsi="Arial" w:cs="Arial"/>
                <w:noProof/>
                <w:sz w:val="18"/>
                <w:szCs w:val="18"/>
                <w:lang w:val="uk-UA"/>
              </w:rPr>
            </w:pPr>
            <w:r w:rsidRPr="00D8392C">
              <w:rPr>
                <w:rFonts w:ascii="Arial" w:hAnsi="Arial" w:cs="Arial"/>
                <w:noProof/>
                <w:sz w:val="18"/>
                <w:szCs w:val="18"/>
                <w:lang w:val="uk-UA"/>
              </w:rPr>
              <w:t xml:space="preserve">В – вольт </w:t>
            </w:r>
            <w:r>
              <w:rPr>
                <w:rFonts w:ascii="Arial" w:hAnsi="Arial" w:cs="Arial"/>
                <w:noProof/>
                <w:sz w:val="18"/>
                <w:szCs w:val="18"/>
                <w:lang w:val="uk-UA"/>
              </w:rPr>
              <w:t xml:space="preserve">/ </w:t>
            </w:r>
            <w:r w:rsidRPr="008131F5">
              <w:rPr>
                <w:rFonts w:ascii="Arial" w:hAnsi="Arial" w:cs="Arial"/>
                <w:i/>
                <w:noProof/>
                <w:sz w:val="18"/>
                <w:szCs w:val="18"/>
                <w:lang w:val="uk-UA"/>
              </w:rPr>
              <w:t>volt</w:t>
            </w:r>
          </w:p>
        </w:tc>
      </w:tr>
      <w:tr w:rsidR="009640BA" w:rsidRPr="00D8392C" w:rsidTr="00DB1A73">
        <w:tc>
          <w:tcPr>
            <w:tcW w:w="5000" w:type="pct"/>
            <w:shd w:val="clear" w:color="auto" w:fill="auto"/>
          </w:tcPr>
          <w:p w:rsidR="009640BA" w:rsidRPr="00D8392C"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г/л – грам на літр / </w:t>
            </w:r>
            <w:r w:rsidRPr="008131F5">
              <w:rPr>
                <w:rFonts w:ascii="Arial" w:hAnsi="Arial" w:cs="Arial"/>
                <w:i/>
                <w:noProof/>
                <w:sz w:val="18"/>
                <w:szCs w:val="18"/>
                <w:lang w:val="uk-UA"/>
              </w:rPr>
              <w:t>gramme per litre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кВ – кіловольт/  </w:t>
            </w:r>
            <w:r w:rsidRPr="008131F5">
              <w:rPr>
                <w:rFonts w:ascii="Arial" w:hAnsi="Arial" w:cs="Arial"/>
                <w:i/>
                <w:noProof/>
                <w:sz w:val="18"/>
                <w:szCs w:val="18"/>
                <w:lang w:val="uk-UA"/>
              </w:rPr>
              <w:t>kilovolt</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кВ·А – кіловольт-ампер / </w:t>
            </w:r>
            <w:r w:rsidRPr="008131F5">
              <w:rPr>
                <w:rFonts w:ascii="Arial" w:hAnsi="Arial" w:cs="Arial"/>
                <w:i/>
                <w:noProof/>
                <w:sz w:val="18"/>
                <w:szCs w:val="18"/>
                <w:lang w:val="uk-UA"/>
              </w:rPr>
              <w:t>kilovolt-ampere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мм - міліметр /</w:t>
            </w:r>
            <w:r w:rsidRPr="008131F5">
              <w:rPr>
                <w:rFonts w:ascii="Arial" w:hAnsi="Arial" w:cs="Arial"/>
                <w:i/>
                <w:noProof/>
                <w:sz w:val="18"/>
                <w:szCs w:val="18"/>
                <w:lang w:val="uk-UA"/>
              </w:rPr>
              <w:t xml:space="preserve"> millimetre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МВт – мегават </w:t>
            </w:r>
            <w:r w:rsidRPr="00966071">
              <w:rPr>
                <w:rFonts w:ascii="Arial" w:hAnsi="Arial" w:cs="Arial"/>
                <w:noProof/>
                <w:sz w:val="18"/>
                <w:szCs w:val="18"/>
                <w:lang w:val="en-US"/>
              </w:rPr>
              <w:t xml:space="preserve">/ </w:t>
            </w:r>
            <w:r w:rsidRPr="008131F5">
              <w:rPr>
                <w:rFonts w:ascii="Arial" w:hAnsi="Arial" w:cs="Arial"/>
                <w:i/>
                <w:noProof/>
                <w:sz w:val="18"/>
                <w:szCs w:val="18"/>
                <w:lang w:val="uk-UA"/>
              </w:rPr>
              <w:t>megawatt</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млн – мільйон /</w:t>
            </w:r>
            <w:r w:rsidRPr="008131F5">
              <w:rPr>
                <w:rFonts w:ascii="Arial" w:hAnsi="Arial" w:cs="Arial"/>
                <w:i/>
                <w:noProof/>
                <w:sz w:val="18"/>
                <w:szCs w:val="18"/>
                <w:lang w:val="uk-UA"/>
              </w:rPr>
              <w:t xml:space="preserve"> million</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млрд – мільярд / </w:t>
            </w:r>
            <w:r w:rsidRPr="008131F5">
              <w:rPr>
                <w:rFonts w:ascii="Arial" w:hAnsi="Arial" w:cs="Arial"/>
                <w:i/>
                <w:noProof/>
                <w:sz w:val="18"/>
                <w:szCs w:val="18"/>
                <w:lang w:val="uk-UA"/>
              </w:rPr>
              <w:t>billion</w:t>
            </w:r>
          </w:p>
        </w:tc>
      </w:tr>
      <w:tr w:rsidR="009640BA" w:rsidRPr="007C407E"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об.% – відсоток умісту за об’ємом </w:t>
            </w:r>
            <w:r w:rsidRPr="00966071">
              <w:rPr>
                <w:rFonts w:ascii="Arial" w:hAnsi="Arial" w:cs="Arial"/>
                <w:noProof/>
                <w:sz w:val="18"/>
                <w:szCs w:val="18"/>
                <w:lang w:val="en-US"/>
              </w:rPr>
              <w:t>/</w:t>
            </w:r>
            <w:r w:rsidRPr="00966071">
              <w:rPr>
                <w:rFonts w:ascii="Arial" w:hAnsi="Arial" w:cs="Arial"/>
                <w:noProof/>
                <w:sz w:val="18"/>
                <w:szCs w:val="18"/>
                <w:lang w:val="uk-UA"/>
              </w:rPr>
              <w:t xml:space="preserve"> </w:t>
            </w:r>
            <w:r w:rsidRPr="008131F5">
              <w:rPr>
                <w:rFonts w:ascii="Arial" w:hAnsi="Arial" w:cs="Arial"/>
                <w:i/>
                <w:noProof/>
                <w:sz w:val="18"/>
                <w:szCs w:val="18"/>
                <w:lang w:val="en-US"/>
              </w:rPr>
              <w:t xml:space="preserve">percent of </w:t>
            </w:r>
            <w:r w:rsidRPr="008131F5">
              <w:rPr>
                <w:rFonts w:ascii="Arial" w:hAnsi="Arial" w:cs="Arial"/>
                <w:i/>
                <w:noProof/>
                <w:sz w:val="18"/>
                <w:szCs w:val="18"/>
                <w:lang w:val="uk-UA"/>
              </w:rPr>
              <w:t>contents volume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р. – рік </w:t>
            </w:r>
            <w:r w:rsidRPr="00966071">
              <w:rPr>
                <w:rFonts w:ascii="Arial" w:hAnsi="Arial" w:cs="Arial"/>
                <w:noProof/>
                <w:sz w:val="18"/>
                <w:szCs w:val="18"/>
                <w:lang w:val="en-US"/>
              </w:rPr>
              <w:t xml:space="preserve">/ </w:t>
            </w:r>
            <w:r w:rsidRPr="008131F5">
              <w:rPr>
                <w:rFonts w:ascii="Arial" w:hAnsi="Arial" w:cs="Arial"/>
                <w:i/>
                <w:noProof/>
                <w:sz w:val="18"/>
                <w:szCs w:val="18"/>
                <w:lang w:val="uk-UA"/>
              </w:rPr>
              <w:t>year</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см</w:t>
            </w:r>
            <w:r w:rsidRPr="00966071">
              <w:rPr>
                <w:rFonts w:ascii="Arial" w:hAnsi="Arial" w:cs="Arial"/>
                <w:noProof/>
                <w:sz w:val="18"/>
                <w:szCs w:val="18"/>
                <w:vertAlign w:val="superscript"/>
                <w:lang w:val="uk-UA"/>
              </w:rPr>
              <w:t>3</w:t>
            </w:r>
            <w:r w:rsidRPr="00966071">
              <w:rPr>
                <w:rFonts w:ascii="Arial" w:hAnsi="Arial" w:cs="Arial"/>
                <w:noProof/>
                <w:sz w:val="18"/>
                <w:szCs w:val="18"/>
                <w:lang w:val="uk-UA"/>
              </w:rPr>
              <w:t xml:space="preserve"> –</w:t>
            </w:r>
            <w:r>
              <w:rPr>
                <w:rFonts w:ascii="Arial" w:hAnsi="Arial" w:cs="Arial"/>
                <w:noProof/>
                <w:sz w:val="18"/>
                <w:szCs w:val="18"/>
                <w:lang w:val="uk-UA"/>
              </w:rPr>
              <w:t xml:space="preserve"> </w:t>
            </w:r>
            <w:r w:rsidRPr="00966071">
              <w:rPr>
                <w:rFonts w:ascii="Arial" w:hAnsi="Arial" w:cs="Arial"/>
                <w:noProof/>
                <w:sz w:val="18"/>
                <w:szCs w:val="18"/>
                <w:lang w:val="uk-UA"/>
              </w:rPr>
              <w:t xml:space="preserve">кубічний сантиметр </w:t>
            </w:r>
            <w:r w:rsidRPr="00966071">
              <w:rPr>
                <w:rFonts w:ascii="Arial" w:hAnsi="Arial" w:cs="Arial"/>
                <w:noProof/>
                <w:sz w:val="18"/>
                <w:szCs w:val="18"/>
              </w:rPr>
              <w:t xml:space="preserve">/ </w:t>
            </w:r>
            <w:r w:rsidRPr="008131F5">
              <w:rPr>
                <w:rFonts w:ascii="Arial" w:hAnsi="Arial" w:cs="Arial"/>
                <w:i/>
                <w:noProof/>
                <w:sz w:val="18"/>
                <w:szCs w:val="18"/>
                <w:lang w:val="uk-UA"/>
              </w:rPr>
              <w:t>cubic centimetre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тис. – тисяча </w:t>
            </w:r>
            <w:r w:rsidRPr="00966071">
              <w:rPr>
                <w:rFonts w:ascii="Arial" w:hAnsi="Arial" w:cs="Arial"/>
                <w:noProof/>
                <w:sz w:val="18"/>
                <w:szCs w:val="18"/>
                <w:lang w:val="en-US"/>
              </w:rPr>
              <w:t xml:space="preserve">/ </w:t>
            </w:r>
            <w:r w:rsidRPr="008131F5">
              <w:rPr>
                <w:rFonts w:ascii="Arial" w:hAnsi="Arial" w:cs="Arial"/>
                <w:i/>
                <w:noProof/>
                <w:sz w:val="18"/>
                <w:szCs w:val="18"/>
                <w:lang w:val="uk-UA"/>
              </w:rPr>
              <w:t>thousand</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rPr>
            </w:pPr>
            <w:r w:rsidRPr="00966071">
              <w:rPr>
                <w:rFonts w:ascii="Arial" w:hAnsi="Arial" w:cs="Arial"/>
                <w:noProof/>
                <w:sz w:val="18"/>
                <w:szCs w:val="18"/>
                <w:lang w:val="uk-UA"/>
              </w:rPr>
              <w:t xml:space="preserve">н.в.і.у. – не віднесені до інших угруповань / </w:t>
            </w:r>
            <w:r w:rsidRPr="008131F5">
              <w:rPr>
                <w:rFonts w:ascii="Arial" w:hAnsi="Arial" w:cs="Arial"/>
                <w:i/>
                <w:noProof/>
                <w:sz w:val="18"/>
                <w:szCs w:val="18"/>
                <w:lang w:val="en-US"/>
              </w:rPr>
              <w:t>not</w:t>
            </w:r>
            <w:r w:rsidRPr="008131F5">
              <w:rPr>
                <w:rFonts w:ascii="Arial" w:hAnsi="Arial" w:cs="Arial"/>
                <w:i/>
                <w:noProof/>
                <w:sz w:val="18"/>
                <w:szCs w:val="18"/>
              </w:rPr>
              <w:t xml:space="preserve"> </w:t>
            </w:r>
            <w:r w:rsidRPr="008131F5">
              <w:rPr>
                <w:rFonts w:ascii="Arial" w:hAnsi="Arial" w:cs="Arial"/>
                <w:i/>
                <w:noProof/>
                <w:sz w:val="18"/>
                <w:szCs w:val="18"/>
                <w:lang w:val="en-US"/>
              </w:rPr>
              <w:t>elsewhere</w:t>
            </w:r>
            <w:r w:rsidRPr="008131F5">
              <w:rPr>
                <w:rFonts w:ascii="Arial" w:hAnsi="Arial" w:cs="Arial"/>
                <w:i/>
                <w:noProof/>
                <w:sz w:val="18"/>
                <w:szCs w:val="18"/>
              </w:rPr>
              <w:t xml:space="preserve"> </w:t>
            </w:r>
            <w:r w:rsidRPr="008131F5">
              <w:rPr>
                <w:rFonts w:ascii="Arial" w:hAnsi="Arial" w:cs="Arial"/>
                <w:i/>
                <w:noProof/>
                <w:sz w:val="18"/>
                <w:szCs w:val="18"/>
                <w:lang w:val="en-US"/>
              </w:rPr>
              <w:t>classified</w:t>
            </w:r>
          </w:p>
        </w:tc>
      </w:tr>
      <w:tr w:rsidR="009640BA" w:rsidRPr="007C407E" w:rsidTr="00DB1A73">
        <w:tc>
          <w:tcPr>
            <w:tcW w:w="5000" w:type="pct"/>
            <w:shd w:val="clear" w:color="auto" w:fill="auto"/>
          </w:tcPr>
          <w:p w:rsidR="009640BA" w:rsidRPr="00333F20" w:rsidRDefault="009640BA" w:rsidP="00DB1A73">
            <w:pPr>
              <w:pStyle w:val="HTML"/>
              <w:rPr>
                <w:rFonts w:ascii="Arial" w:hAnsi="Arial" w:cs="Arial"/>
                <w:noProof/>
                <w:sz w:val="18"/>
                <w:szCs w:val="18"/>
                <w:lang w:val="en-US"/>
              </w:rPr>
            </w:pPr>
            <w:r w:rsidRPr="00966071">
              <w:rPr>
                <w:rFonts w:ascii="Arial" w:hAnsi="Arial" w:cs="Arial"/>
                <w:noProof/>
                <w:sz w:val="18"/>
                <w:szCs w:val="18"/>
              </w:rPr>
              <w:t>тис.елем. – тисяча елементів</w:t>
            </w:r>
            <w:r w:rsidRPr="00333F20">
              <w:rPr>
                <w:rFonts w:ascii="Arial" w:hAnsi="Arial" w:cs="Arial"/>
                <w:noProof/>
                <w:sz w:val="18"/>
                <w:szCs w:val="18"/>
                <w:lang w:val="en-US"/>
              </w:rPr>
              <w:t xml:space="preserve"> / </w:t>
            </w:r>
            <w:r w:rsidRPr="008131F5">
              <w:rPr>
                <w:rFonts w:ascii="Arial" w:hAnsi="Arial" w:cs="Arial"/>
                <w:i/>
                <w:noProof/>
                <w:sz w:val="18"/>
                <w:szCs w:val="18"/>
              </w:rPr>
              <w:t>thousand</w:t>
            </w:r>
            <w:r w:rsidRPr="008131F5">
              <w:rPr>
                <w:rFonts w:ascii="Arial" w:hAnsi="Arial" w:cs="Arial"/>
                <w:i/>
                <w:noProof/>
                <w:sz w:val="18"/>
                <w:szCs w:val="18"/>
                <w:lang w:val="en-US"/>
              </w:rPr>
              <w:t xml:space="preserve"> elements</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А – ампер</w:t>
            </w:r>
            <w:r w:rsidRPr="00966071">
              <w:rPr>
                <w:rFonts w:ascii="Arial" w:hAnsi="Arial" w:cs="Arial"/>
                <w:noProof/>
                <w:sz w:val="18"/>
                <w:szCs w:val="18"/>
                <w:lang w:val="en-US"/>
              </w:rPr>
              <w:t xml:space="preserve"> / </w:t>
            </w:r>
            <w:r w:rsidRPr="008131F5">
              <w:rPr>
                <w:rFonts w:ascii="Arial" w:hAnsi="Arial" w:cs="Arial"/>
                <w:i/>
                <w:noProof/>
                <w:sz w:val="18"/>
                <w:szCs w:val="18"/>
                <w:lang w:val="en-US"/>
              </w:rPr>
              <w:t>amperes</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Вт – ват</w:t>
            </w:r>
            <w:r w:rsidRPr="00966071">
              <w:rPr>
                <w:rFonts w:ascii="Arial" w:hAnsi="Arial" w:cs="Arial"/>
                <w:noProof/>
                <w:sz w:val="18"/>
                <w:szCs w:val="18"/>
                <w:lang w:val="en-US"/>
              </w:rPr>
              <w:t xml:space="preserve"> / </w:t>
            </w:r>
            <w:r w:rsidRPr="008131F5">
              <w:rPr>
                <w:rFonts w:ascii="Arial" w:hAnsi="Arial" w:cs="Arial"/>
                <w:i/>
                <w:noProof/>
                <w:sz w:val="18"/>
                <w:szCs w:val="18"/>
                <w:lang w:val="en-US"/>
              </w:rPr>
              <w:t>watt</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rPr>
            </w:pPr>
            <w:r w:rsidRPr="00966071">
              <w:rPr>
                <w:rFonts w:ascii="Arial" w:hAnsi="Arial" w:cs="Arial"/>
                <w:noProof/>
                <w:sz w:val="18"/>
                <w:szCs w:val="18"/>
                <w:lang w:val="uk-UA"/>
              </w:rPr>
              <w:t>г/м – грам на метр</w:t>
            </w:r>
            <w:r w:rsidRPr="00966071">
              <w:rPr>
                <w:rFonts w:ascii="Arial" w:hAnsi="Arial" w:cs="Arial"/>
                <w:noProof/>
                <w:sz w:val="18"/>
                <w:szCs w:val="18"/>
              </w:rPr>
              <w:t xml:space="preserve"> / </w:t>
            </w:r>
            <w:r w:rsidRPr="008131F5">
              <w:rPr>
                <w:rFonts w:ascii="Arial" w:hAnsi="Arial" w:cs="Arial"/>
                <w:i/>
                <w:noProof/>
                <w:sz w:val="18"/>
                <w:szCs w:val="18"/>
                <w:lang w:val="uk-UA"/>
              </w:rPr>
              <w:t>gramme per</w:t>
            </w:r>
            <w:r w:rsidRPr="008131F5">
              <w:rPr>
                <w:rFonts w:ascii="Arial" w:hAnsi="Arial" w:cs="Arial"/>
                <w:i/>
                <w:noProof/>
                <w:sz w:val="18"/>
                <w:szCs w:val="18"/>
              </w:rPr>
              <w:t xml:space="preserve"> </w:t>
            </w:r>
            <w:r w:rsidRPr="008131F5">
              <w:rPr>
                <w:rFonts w:ascii="Arial" w:hAnsi="Arial" w:cs="Arial"/>
                <w:i/>
                <w:noProof/>
                <w:sz w:val="18"/>
                <w:szCs w:val="18"/>
                <w:lang w:val="uk-UA"/>
              </w:rPr>
              <w:t>metre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rPr>
            </w:pPr>
            <w:r w:rsidRPr="00966071">
              <w:rPr>
                <w:rFonts w:ascii="Arial" w:hAnsi="Arial" w:cs="Arial"/>
                <w:noProof/>
                <w:sz w:val="18"/>
                <w:szCs w:val="18"/>
                <w:lang w:val="uk-UA"/>
              </w:rPr>
              <w:t>г/м</w:t>
            </w:r>
            <w:r w:rsidRPr="00966071">
              <w:rPr>
                <w:rFonts w:ascii="Arial" w:hAnsi="Arial" w:cs="Arial"/>
                <w:noProof/>
                <w:sz w:val="18"/>
                <w:szCs w:val="18"/>
                <w:vertAlign w:val="superscript"/>
                <w:lang w:val="uk-UA"/>
              </w:rPr>
              <w:t xml:space="preserve">2 </w:t>
            </w:r>
            <w:r w:rsidRPr="00966071">
              <w:rPr>
                <w:rFonts w:ascii="Arial" w:hAnsi="Arial" w:cs="Arial"/>
                <w:noProof/>
                <w:sz w:val="18"/>
                <w:szCs w:val="18"/>
                <w:lang w:val="uk-UA"/>
              </w:rPr>
              <w:t>– грам на метр квадратний</w:t>
            </w:r>
            <w:r w:rsidRPr="00966071">
              <w:rPr>
                <w:rFonts w:ascii="Arial" w:hAnsi="Arial" w:cs="Arial"/>
                <w:noProof/>
                <w:sz w:val="18"/>
                <w:szCs w:val="18"/>
              </w:rPr>
              <w:t xml:space="preserve"> / </w:t>
            </w:r>
            <w:r w:rsidRPr="008131F5">
              <w:rPr>
                <w:rFonts w:ascii="Arial" w:hAnsi="Arial" w:cs="Arial"/>
                <w:i/>
                <w:noProof/>
                <w:sz w:val="18"/>
                <w:szCs w:val="18"/>
                <w:lang w:val="uk-UA"/>
              </w:rPr>
              <w:t>gramme per</w:t>
            </w:r>
            <w:r w:rsidRPr="008131F5">
              <w:rPr>
                <w:rFonts w:ascii="Arial" w:hAnsi="Arial" w:cs="Arial"/>
                <w:i/>
                <w:noProof/>
                <w:sz w:val="18"/>
                <w:szCs w:val="18"/>
              </w:rPr>
              <w:t xml:space="preserve"> </w:t>
            </w:r>
            <w:r w:rsidRPr="008131F5">
              <w:rPr>
                <w:rFonts w:ascii="Arial" w:hAnsi="Arial" w:cs="Arial"/>
                <w:i/>
                <w:noProof/>
                <w:sz w:val="18"/>
                <w:szCs w:val="18"/>
                <w:lang w:val="uk-UA"/>
              </w:rPr>
              <w:t>squarer metre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см – сантиметр</w:t>
            </w:r>
            <w:r w:rsidRPr="00966071">
              <w:rPr>
                <w:rFonts w:ascii="Arial" w:hAnsi="Arial" w:cs="Arial"/>
                <w:noProof/>
                <w:sz w:val="18"/>
                <w:szCs w:val="18"/>
                <w:lang w:val="en-US"/>
              </w:rPr>
              <w:t xml:space="preserve"> / </w:t>
            </w:r>
            <w:r w:rsidRPr="008131F5">
              <w:rPr>
                <w:rFonts w:ascii="Arial" w:hAnsi="Arial" w:cs="Arial"/>
                <w:i/>
                <w:noProof/>
                <w:sz w:val="18"/>
                <w:szCs w:val="18"/>
                <w:lang w:val="uk-UA"/>
              </w:rPr>
              <w:t>centimetre</w:t>
            </w:r>
          </w:p>
        </w:tc>
      </w:tr>
      <w:tr w:rsidR="009640BA" w:rsidRPr="00966071" w:rsidTr="00DB1A73">
        <w:tc>
          <w:tcPr>
            <w:tcW w:w="5000" w:type="pct"/>
            <w:shd w:val="clear" w:color="auto" w:fill="auto"/>
          </w:tcPr>
          <w:p w:rsidR="009640BA" w:rsidRPr="00966071" w:rsidRDefault="009640BA" w:rsidP="00DB1A73">
            <w:pPr>
              <w:pStyle w:val="HTML"/>
              <w:rPr>
                <w:rFonts w:ascii="Arial" w:hAnsi="Arial" w:cs="Arial"/>
                <w:noProof/>
                <w:sz w:val="18"/>
                <w:szCs w:val="18"/>
                <w:lang w:val="en-US"/>
              </w:rPr>
            </w:pPr>
            <w:r w:rsidRPr="00966071">
              <w:rPr>
                <w:rFonts w:ascii="Arial" w:hAnsi="Arial" w:cs="Arial"/>
                <w:noProof/>
                <w:sz w:val="18"/>
                <w:szCs w:val="18"/>
                <w:lang w:val="en-US"/>
              </w:rPr>
              <w:t>M</w:t>
            </w:r>
            <w:r w:rsidRPr="00966071">
              <w:rPr>
                <w:rFonts w:ascii="Arial" w:hAnsi="Arial" w:cs="Arial"/>
                <w:noProof/>
                <w:sz w:val="18"/>
                <w:szCs w:val="18"/>
              </w:rPr>
              <w:t xml:space="preserve">Па – мегапаскаль / </w:t>
            </w:r>
            <w:r w:rsidRPr="008131F5">
              <w:rPr>
                <w:rFonts w:ascii="Arial" w:hAnsi="Arial" w:cs="Arial"/>
                <w:i/>
                <w:noProof/>
                <w:sz w:val="18"/>
                <w:szCs w:val="18"/>
                <w:lang w:val="en-US"/>
              </w:rPr>
              <w:t>megapascal</w:t>
            </w:r>
          </w:p>
        </w:tc>
      </w:tr>
    </w:tbl>
    <w:p w:rsidR="00225F49" w:rsidRDefault="00225F49"/>
    <w:tbl>
      <w:tblPr>
        <w:tblW w:w="5000" w:type="pct"/>
        <w:tblLook w:val="01E0" w:firstRow="1" w:lastRow="1" w:firstColumn="1" w:lastColumn="1" w:noHBand="0" w:noVBand="0"/>
      </w:tblPr>
      <w:tblGrid>
        <w:gridCol w:w="9070"/>
      </w:tblGrid>
      <w:tr w:rsidR="009640BA" w:rsidRPr="007C407E" w:rsidTr="00DB1A73">
        <w:tc>
          <w:tcPr>
            <w:tcW w:w="5000" w:type="pct"/>
            <w:shd w:val="clear" w:color="auto" w:fill="auto"/>
          </w:tcPr>
          <w:p w:rsidR="009640BA" w:rsidRPr="009640BA" w:rsidRDefault="009640BA" w:rsidP="009640BA">
            <w:pPr>
              <w:rPr>
                <w:rFonts w:ascii="Arial" w:hAnsi="Arial" w:cs="Arial"/>
                <w:caps/>
                <w:noProof/>
                <w:lang w:val="uk-UA"/>
              </w:rPr>
            </w:pPr>
            <w:r w:rsidRPr="009640BA">
              <w:rPr>
                <w:rFonts w:ascii="Arial" w:hAnsi="Arial" w:cs="Arial"/>
                <w:b/>
                <w:caps/>
                <w:noProof/>
                <w:lang w:val="uk-UA"/>
              </w:rPr>
              <w:t>Одиниці вимірювання статистичних показників</w:t>
            </w:r>
            <w:r w:rsidRPr="009640BA">
              <w:rPr>
                <w:rFonts w:ascii="Arial" w:hAnsi="Arial" w:cs="Arial"/>
                <w:caps/>
                <w:noProof/>
                <w:lang w:val="uk-UA"/>
              </w:rPr>
              <w:t xml:space="preserve"> </w:t>
            </w:r>
            <w:r w:rsidRPr="009640BA">
              <w:rPr>
                <w:rFonts w:ascii="Arial" w:hAnsi="Arial" w:cs="Arial"/>
                <w:caps/>
                <w:noProof/>
                <w:lang w:val="en-US"/>
              </w:rPr>
              <w:t xml:space="preserve">/ </w:t>
            </w:r>
            <w:r w:rsidRPr="008131F5">
              <w:rPr>
                <w:rFonts w:ascii="Arial" w:hAnsi="Arial" w:cs="Arial"/>
                <w:i/>
                <w:caps/>
                <w:noProof/>
                <w:lang w:val="uk-UA"/>
              </w:rPr>
              <w:t>Units of measurement statistical indicators</w:t>
            </w:r>
          </w:p>
        </w:tc>
      </w:tr>
      <w:tr w:rsidR="009640BA" w:rsidRPr="00966071" w:rsidTr="00DB1A73">
        <w:tc>
          <w:tcPr>
            <w:tcW w:w="5000" w:type="pct"/>
            <w:shd w:val="clear" w:color="auto" w:fill="auto"/>
          </w:tcPr>
          <w:p w:rsidR="009640BA" w:rsidRPr="00966071" w:rsidRDefault="009640BA" w:rsidP="00DB1A73">
            <w:pPr>
              <w:rPr>
                <w:rFonts w:ascii="Arial" w:hAnsi="Arial" w:cs="Arial"/>
                <w:noProof/>
                <w:sz w:val="18"/>
                <w:szCs w:val="18"/>
              </w:rPr>
            </w:pPr>
            <w:r w:rsidRPr="00966071">
              <w:rPr>
                <w:rFonts w:ascii="Arial" w:hAnsi="Arial" w:cs="Arial"/>
                <w:noProof/>
                <w:sz w:val="18"/>
                <w:szCs w:val="18"/>
              </w:rPr>
              <w:t>% - відсоток</w:t>
            </w:r>
            <w:r w:rsidRPr="00966071">
              <w:rPr>
                <w:rFonts w:ascii="Arial" w:hAnsi="Arial" w:cs="Arial"/>
                <w:noProof/>
                <w:sz w:val="18"/>
                <w:szCs w:val="18"/>
                <w:lang w:val="uk-UA"/>
              </w:rPr>
              <w:t xml:space="preserve"> </w:t>
            </w:r>
            <w:r w:rsidRPr="00966071">
              <w:rPr>
                <w:rFonts w:ascii="Arial" w:hAnsi="Arial" w:cs="Arial"/>
                <w:noProof/>
                <w:sz w:val="18"/>
                <w:szCs w:val="18"/>
                <w:lang w:val="en-US"/>
              </w:rPr>
              <w:t xml:space="preserve">/ </w:t>
            </w:r>
            <w:r w:rsidRPr="008131F5">
              <w:rPr>
                <w:rFonts w:ascii="Arial" w:hAnsi="Arial" w:cs="Arial"/>
                <w:i/>
                <w:noProof/>
                <w:sz w:val="18"/>
                <w:szCs w:val="18"/>
                <w:lang w:val="uk-UA"/>
              </w:rPr>
              <w:t>percent</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г – грам </w:t>
            </w:r>
            <w:r w:rsidRPr="008131F5">
              <w:rPr>
                <w:rFonts w:ascii="Arial" w:hAnsi="Arial" w:cs="Arial"/>
                <w:noProof/>
                <w:sz w:val="18"/>
                <w:szCs w:val="18"/>
                <w:lang w:val="uk-UA"/>
              </w:rPr>
              <w:t>/</w:t>
            </w:r>
            <w:r w:rsidRPr="008131F5">
              <w:rPr>
                <w:rFonts w:ascii="Arial" w:hAnsi="Arial" w:cs="Arial"/>
                <w:i/>
                <w:noProof/>
                <w:sz w:val="18"/>
                <w:szCs w:val="18"/>
                <w:lang w:val="uk-UA"/>
              </w:rPr>
              <w:t xml:space="preserve"> gramme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Гкал – гігакалорія / </w:t>
            </w:r>
            <w:r w:rsidRPr="008131F5">
              <w:rPr>
                <w:rFonts w:ascii="Arial" w:hAnsi="Arial" w:cs="Arial"/>
                <w:i/>
                <w:noProof/>
                <w:sz w:val="18"/>
                <w:szCs w:val="18"/>
                <w:lang w:val="uk-UA"/>
              </w:rPr>
              <w:t>giga-calorie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год. –  година </w:t>
            </w:r>
            <w:r w:rsidRPr="00966071">
              <w:rPr>
                <w:rFonts w:ascii="Arial" w:hAnsi="Arial" w:cs="Arial"/>
                <w:noProof/>
                <w:sz w:val="18"/>
                <w:szCs w:val="18"/>
                <w:lang w:val="en-US"/>
              </w:rPr>
              <w:t xml:space="preserve">/ </w:t>
            </w:r>
            <w:r w:rsidRPr="008131F5">
              <w:rPr>
                <w:rFonts w:ascii="Arial" w:hAnsi="Arial" w:cs="Arial"/>
                <w:i/>
                <w:noProof/>
                <w:sz w:val="18"/>
                <w:szCs w:val="18"/>
                <w:lang w:val="uk-UA"/>
              </w:rPr>
              <w:t>hour</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грн</w:t>
            </w:r>
            <w:r>
              <w:rPr>
                <w:rFonts w:ascii="Arial" w:hAnsi="Arial" w:cs="Arial"/>
                <w:noProof/>
                <w:sz w:val="18"/>
                <w:szCs w:val="18"/>
                <w:lang w:val="uk-UA"/>
              </w:rPr>
              <w:t xml:space="preserve"> </w:t>
            </w:r>
            <w:r w:rsidRPr="00966071">
              <w:rPr>
                <w:rFonts w:ascii="Arial" w:hAnsi="Arial" w:cs="Arial"/>
                <w:noProof/>
                <w:sz w:val="18"/>
                <w:szCs w:val="18"/>
                <w:lang w:val="uk-UA"/>
              </w:rPr>
              <w:t xml:space="preserve">– гривня </w:t>
            </w:r>
            <w:r w:rsidRPr="00966071">
              <w:rPr>
                <w:rFonts w:ascii="Arial" w:hAnsi="Arial" w:cs="Arial"/>
                <w:noProof/>
                <w:sz w:val="18"/>
                <w:szCs w:val="18"/>
                <w:lang w:val="en-US"/>
              </w:rPr>
              <w:t xml:space="preserve">/ </w:t>
            </w:r>
            <w:r w:rsidRPr="008131F5">
              <w:rPr>
                <w:rFonts w:ascii="Arial" w:hAnsi="Arial" w:cs="Arial"/>
                <w:i/>
                <w:noProof/>
                <w:sz w:val="18"/>
                <w:szCs w:val="18"/>
                <w:lang w:val="uk-UA"/>
              </w:rPr>
              <w:t>Ukrainian hryvnya</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дал – декалітр / </w:t>
            </w:r>
            <w:r w:rsidRPr="008131F5">
              <w:rPr>
                <w:rFonts w:ascii="Arial" w:hAnsi="Arial" w:cs="Arial"/>
                <w:i/>
                <w:noProof/>
                <w:sz w:val="18"/>
                <w:szCs w:val="18"/>
                <w:lang w:val="uk-UA"/>
              </w:rPr>
              <w:t>dekalitre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кВт – кіловат / </w:t>
            </w:r>
            <w:r w:rsidRPr="008131F5">
              <w:rPr>
                <w:rFonts w:ascii="Arial" w:hAnsi="Arial" w:cs="Arial"/>
                <w:i/>
                <w:noProof/>
                <w:sz w:val="18"/>
                <w:szCs w:val="18"/>
                <w:lang w:val="uk-UA"/>
              </w:rPr>
              <w:t>kilowatt</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кВт·год – кіловат-година / </w:t>
            </w:r>
            <w:r w:rsidRPr="008131F5">
              <w:rPr>
                <w:rFonts w:ascii="Arial" w:hAnsi="Arial" w:cs="Arial"/>
                <w:i/>
                <w:noProof/>
                <w:sz w:val="18"/>
                <w:szCs w:val="18"/>
                <w:lang w:val="uk-UA"/>
              </w:rPr>
              <w:t>kilowatt-hour</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кг – кілограм / </w:t>
            </w:r>
            <w:r w:rsidRPr="008131F5">
              <w:rPr>
                <w:rFonts w:ascii="Arial" w:hAnsi="Arial" w:cs="Arial"/>
                <w:i/>
                <w:noProof/>
                <w:sz w:val="18"/>
                <w:szCs w:val="18"/>
                <w:lang w:val="uk-UA"/>
              </w:rPr>
              <w:t>kilogramme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км – кілометр </w:t>
            </w:r>
            <w:r w:rsidRPr="00966071">
              <w:rPr>
                <w:rFonts w:ascii="Arial" w:hAnsi="Arial" w:cs="Arial"/>
                <w:noProof/>
                <w:sz w:val="18"/>
                <w:szCs w:val="18"/>
                <w:lang w:val="en-US"/>
              </w:rPr>
              <w:t xml:space="preserve">/ </w:t>
            </w:r>
            <w:r w:rsidRPr="008131F5">
              <w:rPr>
                <w:rFonts w:ascii="Arial" w:hAnsi="Arial" w:cs="Arial"/>
                <w:i/>
                <w:noProof/>
                <w:sz w:val="18"/>
                <w:szCs w:val="18"/>
                <w:lang w:val="uk-UA"/>
              </w:rPr>
              <w:t>kilometre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м</w:t>
            </w:r>
            <w:r w:rsidRPr="00966071">
              <w:rPr>
                <w:rFonts w:ascii="Arial" w:hAnsi="Arial" w:cs="Arial"/>
                <w:noProof/>
                <w:sz w:val="18"/>
                <w:szCs w:val="18"/>
                <w:vertAlign w:val="superscript"/>
                <w:lang w:val="uk-UA"/>
              </w:rPr>
              <w:t>3</w:t>
            </w:r>
            <w:r w:rsidRPr="00966071">
              <w:rPr>
                <w:rFonts w:ascii="Arial" w:hAnsi="Arial" w:cs="Arial"/>
                <w:noProof/>
                <w:sz w:val="18"/>
                <w:szCs w:val="18"/>
                <w:lang w:val="uk-UA"/>
              </w:rPr>
              <w:t xml:space="preserve"> – кубічний метр / </w:t>
            </w:r>
            <w:r w:rsidRPr="008131F5">
              <w:rPr>
                <w:rFonts w:ascii="Arial" w:hAnsi="Arial" w:cs="Arial"/>
                <w:i/>
                <w:noProof/>
                <w:sz w:val="18"/>
                <w:szCs w:val="18"/>
                <w:lang w:val="uk-UA"/>
              </w:rPr>
              <w:t>cubic metre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л – літр / </w:t>
            </w:r>
            <w:r w:rsidRPr="008131F5">
              <w:rPr>
                <w:rFonts w:ascii="Arial" w:hAnsi="Arial" w:cs="Arial"/>
                <w:i/>
                <w:noProof/>
                <w:sz w:val="18"/>
                <w:szCs w:val="18"/>
                <w:lang w:val="uk-UA"/>
              </w:rPr>
              <w:t>litre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м – метр / </w:t>
            </w:r>
            <w:r w:rsidRPr="008131F5">
              <w:rPr>
                <w:rFonts w:ascii="Arial" w:hAnsi="Arial" w:cs="Arial"/>
                <w:i/>
                <w:noProof/>
                <w:sz w:val="18"/>
                <w:szCs w:val="18"/>
                <w:lang w:val="uk-UA"/>
              </w:rPr>
              <w:t>metre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м</w:t>
            </w:r>
            <w:r w:rsidRPr="00966071">
              <w:rPr>
                <w:rFonts w:ascii="Arial" w:hAnsi="Arial" w:cs="Arial"/>
                <w:noProof/>
                <w:sz w:val="18"/>
                <w:szCs w:val="18"/>
                <w:vertAlign w:val="superscript"/>
                <w:lang w:val="uk-UA"/>
              </w:rPr>
              <w:t>2</w:t>
            </w:r>
            <w:r w:rsidRPr="00966071">
              <w:rPr>
                <w:rFonts w:ascii="Arial" w:hAnsi="Arial" w:cs="Arial"/>
                <w:noProof/>
                <w:sz w:val="18"/>
                <w:szCs w:val="18"/>
                <w:lang w:val="uk-UA"/>
              </w:rPr>
              <w:t xml:space="preserve"> – квадратний метр </w:t>
            </w:r>
            <w:r w:rsidRPr="00966071">
              <w:rPr>
                <w:rFonts w:ascii="Arial" w:hAnsi="Arial" w:cs="Arial"/>
                <w:noProof/>
                <w:sz w:val="18"/>
                <w:szCs w:val="18"/>
              </w:rPr>
              <w:t xml:space="preserve">/ </w:t>
            </w:r>
            <w:r w:rsidRPr="008131F5">
              <w:rPr>
                <w:rFonts w:ascii="Arial" w:hAnsi="Arial" w:cs="Arial"/>
                <w:i/>
                <w:noProof/>
                <w:sz w:val="18"/>
                <w:szCs w:val="18"/>
                <w:lang w:val="uk-UA"/>
              </w:rPr>
              <w:t>squarer metre</w:t>
            </w:r>
          </w:p>
        </w:tc>
      </w:tr>
      <w:tr w:rsidR="009640BA" w:rsidRPr="00966071"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en-US"/>
              </w:rPr>
            </w:pPr>
            <w:r w:rsidRPr="00966071">
              <w:rPr>
                <w:rFonts w:ascii="Arial" w:hAnsi="Arial" w:cs="Arial"/>
                <w:noProof/>
                <w:sz w:val="18"/>
                <w:szCs w:val="18"/>
                <w:lang w:val="uk-UA"/>
              </w:rPr>
              <w:t xml:space="preserve">т – тонна </w:t>
            </w:r>
            <w:r w:rsidRPr="00966071">
              <w:rPr>
                <w:rFonts w:ascii="Arial" w:hAnsi="Arial" w:cs="Arial"/>
                <w:noProof/>
                <w:sz w:val="18"/>
                <w:szCs w:val="18"/>
                <w:lang w:val="en-US"/>
              </w:rPr>
              <w:t xml:space="preserve">/ </w:t>
            </w:r>
            <w:r w:rsidRPr="008131F5">
              <w:rPr>
                <w:rFonts w:ascii="Arial" w:hAnsi="Arial" w:cs="Arial"/>
                <w:i/>
                <w:noProof/>
                <w:sz w:val="18"/>
                <w:szCs w:val="18"/>
                <w:lang w:val="uk-UA"/>
              </w:rPr>
              <w:t>ton</w:t>
            </w:r>
            <w:r w:rsidRPr="008131F5">
              <w:rPr>
                <w:rFonts w:ascii="Arial" w:hAnsi="Arial" w:cs="Arial"/>
                <w:i/>
                <w:noProof/>
                <w:sz w:val="18"/>
                <w:szCs w:val="18"/>
                <w:lang w:val="en-US"/>
              </w:rPr>
              <w:t>ne</w:t>
            </w:r>
          </w:p>
        </w:tc>
      </w:tr>
      <w:tr w:rsidR="009640BA" w:rsidRPr="00D8392C" w:rsidTr="00DB1A73">
        <w:tc>
          <w:tcPr>
            <w:tcW w:w="5000" w:type="pct"/>
            <w:shd w:val="clear" w:color="auto" w:fill="auto"/>
          </w:tcPr>
          <w:p w:rsidR="009640BA" w:rsidRPr="00966071" w:rsidRDefault="009640BA" w:rsidP="00DB1A73">
            <w:pPr>
              <w:spacing w:line="200" w:lineRule="exact"/>
              <w:rPr>
                <w:rFonts w:ascii="Arial" w:hAnsi="Arial" w:cs="Arial"/>
                <w:noProof/>
                <w:sz w:val="18"/>
                <w:szCs w:val="18"/>
                <w:lang w:val="uk-UA"/>
              </w:rPr>
            </w:pPr>
            <w:r w:rsidRPr="00966071">
              <w:rPr>
                <w:rFonts w:ascii="Arial" w:hAnsi="Arial" w:cs="Arial"/>
                <w:noProof/>
                <w:sz w:val="18"/>
                <w:szCs w:val="18"/>
                <w:lang w:val="uk-UA"/>
              </w:rPr>
              <w:t xml:space="preserve">шт – штук </w:t>
            </w:r>
            <w:r w:rsidRPr="00966071">
              <w:rPr>
                <w:rFonts w:ascii="Arial" w:hAnsi="Arial" w:cs="Arial"/>
                <w:noProof/>
                <w:sz w:val="18"/>
                <w:szCs w:val="18"/>
                <w:lang w:val="en-US"/>
              </w:rPr>
              <w:t xml:space="preserve">/ </w:t>
            </w:r>
            <w:r w:rsidRPr="008131F5">
              <w:rPr>
                <w:rFonts w:ascii="Arial" w:hAnsi="Arial" w:cs="Arial"/>
                <w:i/>
                <w:noProof/>
                <w:sz w:val="18"/>
                <w:szCs w:val="18"/>
                <w:lang w:val="en-US"/>
              </w:rPr>
              <w:t>pieces</w:t>
            </w:r>
          </w:p>
        </w:tc>
      </w:tr>
    </w:tbl>
    <w:p w:rsidR="009640BA" w:rsidRPr="00D54CC3" w:rsidRDefault="009640BA" w:rsidP="009640BA">
      <w:pPr>
        <w:pStyle w:val="11"/>
        <w:tabs>
          <w:tab w:val="left" w:pos="1816"/>
          <w:tab w:val="left" w:pos="2158"/>
          <w:tab w:val="left" w:pos="7937"/>
        </w:tabs>
        <w:spacing w:line="120" w:lineRule="auto"/>
        <w:rPr>
          <w:rFonts w:ascii="Arial" w:hAnsi="Arial" w:cs="Arial"/>
          <w:b/>
          <w:sz w:val="22"/>
          <w:szCs w:val="22"/>
        </w:rPr>
      </w:pPr>
    </w:p>
    <w:p w:rsidR="009640BA" w:rsidRDefault="009640BA" w:rsidP="009640BA">
      <w:pPr>
        <w:pStyle w:val="1"/>
        <w:keepNext w:val="0"/>
        <w:spacing w:before="0" w:after="60" w:line="204" w:lineRule="auto"/>
        <w:rPr>
          <w:rFonts w:ascii="Arial" w:hAnsi="Arial"/>
          <w:caps/>
          <w:noProof/>
          <w:sz w:val="20"/>
        </w:rPr>
      </w:pPr>
    </w:p>
    <w:p w:rsidR="009640BA" w:rsidRPr="009640BA" w:rsidRDefault="009640BA" w:rsidP="009640BA">
      <w:pPr>
        <w:pStyle w:val="1"/>
        <w:keepNext w:val="0"/>
        <w:spacing w:before="0" w:after="60" w:line="204" w:lineRule="auto"/>
        <w:rPr>
          <w:rFonts w:ascii="Arial" w:hAnsi="Arial"/>
          <w:b/>
          <w:caps/>
          <w:noProof/>
          <w:color w:val="auto"/>
          <w:sz w:val="24"/>
          <w:szCs w:val="24"/>
        </w:rPr>
      </w:pPr>
      <w:r w:rsidRPr="009640BA">
        <w:rPr>
          <w:rFonts w:ascii="Arial" w:hAnsi="Arial"/>
          <w:b/>
          <w:caps/>
          <w:noProof/>
          <w:color w:val="auto"/>
          <w:sz w:val="24"/>
          <w:szCs w:val="24"/>
        </w:rPr>
        <w:t xml:space="preserve">Умовні позначення </w:t>
      </w:r>
      <w:bookmarkStart w:id="0" w:name="_GoBack"/>
      <w:bookmarkEnd w:id="0"/>
    </w:p>
    <w:tbl>
      <w:tblPr>
        <w:tblW w:w="0" w:type="auto"/>
        <w:tblLook w:val="01E0" w:firstRow="1" w:lastRow="1" w:firstColumn="1" w:lastColumn="1" w:noHBand="0" w:noVBand="0"/>
      </w:tblPr>
      <w:tblGrid>
        <w:gridCol w:w="2127"/>
        <w:gridCol w:w="6943"/>
      </w:tblGrid>
      <w:tr w:rsidR="009640BA" w:rsidRPr="00D8392C" w:rsidTr="00DB1A73">
        <w:tc>
          <w:tcPr>
            <w:tcW w:w="2127" w:type="dxa"/>
            <w:shd w:val="clear" w:color="auto" w:fill="auto"/>
          </w:tcPr>
          <w:p w:rsidR="009640BA" w:rsidRPr="00D8392C" w:rsidRDefault="009640BA" w:rsidP="00DB1A73">
            <w:pPr>
              <w:spacing w:line="200" w:lineRule="exact"/>
              <w:rPr>
                <w:rFonts w:eastAsia="Arial Unicode MS"/>
                <w:lang w:val="uk-UA"/>
              </w:rPr>
            </w:pPr>
            <w:r w:rsidRPr="00D8392C">
              <w:rPr>
                <w:rFonts w:ascii="Arial" w:hAnsi="Arial" w:cs="Arial"/>
                <w:noProof/>
                <w:sz w:val="19"/>
                <w:szCs w:val="19"/>
              </w:rPr>
              <w:t>Тире (–)</w:t>
            </w:r>
          </w:p>
        </w:tc>
        <w:tc>
          <w:tcPr>
            <w:tcW w:w="6943" w:type="dxa"/>
            <w:shd w:val="clear" w:color="auto" w:fill="auto"/>
          </w:tcPr>
          <w:p w:rsidR="009640BA" w:rsidRPr="00D8392C" w:rsidRDefault="009640BA" w:rsidP="00DB1A73">
            <w:pPr>
              <w:pStyle w:val="11"/>
              <w:tabs>
                <w:tab w:val="left" w:pos="2160"/>
                <w:tab w:val="left" w:pos="2520"/>
              </w:tabs>
              <w:spacing w:line="200" w:lineRule="exact"/>
              <w:rPr>
                <w:rFonts w:ascii="Arial" w:hAnsi="Arial" w:cs="Arial"/>
                <w:noProof/>
                <w:sz w:val="19"/>
                <w:szCs w:val="19"/>
              </w:rPr>
            </w:pPr>
            <w:r w:rsidRPr="00D8392C">
              <w:rPr>
                <w:rFonts w:ascii="Arial" w:hAnsi="Arial" w:cs="Arial"/>
                <w:noProof/>
                <w:sz w:val="19"/>
                <w:szCs w:val="19"/>
                <w:lang w:val="ru-RU"/>
              </w:rPr>
              <w:t>– явищ не було</w:t>
            </w:r>
          </w:p>
        </w:tc>
      </w:tr>
      <w:tr w:rsidR="009640BA" w:rsidRPr="00D8392C" w:rsidTr="00DB1A73">
        <w:tc>
          <w:tcPr>
            <w:tcW w:w="2127" w:type="dxa"/>
            <w:shd w:val="clear" w:color="auto" w:fill="auto"/>
          </w:tcPr>
          <w:p w:rsidR="009640BA" w:rsidRPr="00D8392C" w:rsidRDefault="009640BA" w:rsidP="00DB1A73">
            <w:pPr>
              <w:spacing w:line="200" w:lineRule="exact"/>
              <w:rPr>
                <w:rFonts w:eastAsia="Arial Unicode MS"/>
                <w:lang w:val="uk-UA"/>
              </w:rPr>
            </w:pPr>
            <w:r w:rsidRPr="00D8392C">
              <w:rPr>
                <w:rFonts w:ascii="Arial" w:hAnsi="Arial" w:cs="Arial"/>
                <w:noProof/>
                <w:sz w:val="19"/>
                <w:szCs w:val="19"/>
              </w:rPr>
              <w:t>Крапки (...)</w:t>
            </w:r>
          </w:p>
        </w:tc>
        <w:tc>
          <w:tcPr>
            <w:tcW w:w="6943" w:type="dxa"/>
            <w:shd w:val="clear" w:color="auto" w:fill="auto"/>
          </w:tcPr>
          <w:p w:rsidR="009640BA" w:rsidRPr="00D8392C" w:rsidRDefault="009640BA" w:rsidP="00DB1A73">
            <w:pPr>
              <w:spacing w:line="200" w:lineRule="exact"/>
              <w:rPr>
                <w:rFonts w:eastAsia="Arial Unicode MS"/>
                <w:lang w:val="uk-UA"/>
              </w:rPr>
            </w:pPr>
            <w:r w:rsidRPr="00D8392C">
              <w:rPr>
                <w:rFonts w:ascii="Arial" w:hAnsi="Arial" w:cs="Arial"/>
                <w:noProof/>
                <w:sz w:val="19"/>
                <w:szCs w:val="19"/>
                <w:lang w:val="uk-UA"/>
              </w:rPr>
              <w:t xml:space="preserve">– </w:t>
            </w:r>
            <w:r w:rsidRPr="00D8392C">
              <w:rPr>
                <w:rFonts w:ascii="Arial" w:hAnsi="Arial" w:cs="Arial"/>
                <w:noProof/>
                <w:sz w:val="19"/>
                <w:szCs w:val="19"/>
              </w:rPr>
              <w:t>відомості відсутні</w:t>
            </w:r>
          </w:p>
        </w:tc>
      </w:tr>
      <w:tr w:rsidR="009640BA" w:rsidRPr="00D8392C" w:rsidTr="00DB1A73">
        <w:tc>
          <w:tcPr>
            <w:tcW w:w="2127" w:type="dxa"/>
            <w:shd w:val="clear" w:color="auto" w:fill="auto"/>
          </w:tcPr>
          <w:p w:rsidR="009640BA" w:rsidRPr="00D8392C" w:rsidRDefault="009640BA" w:rsidP="00DB1A73">
            <w:pPr>
              <w:spacing w:line="200" w:lineRule="exact"/>
              <w:rPr>
                <w:rFonts w:eastAsia="Arial Unicode MS"/>
                <w:lang w:val="uk-UA"/>
              </w:rPr>
            </w:pPr>
            <w:r w:rsidRPr="00D8392C">
              <w:rPr>
                <w:rFonts w:ascii="Arial" w:hAnsi="Arial" w:cs="Arial"/>
                <w:noProof/>
                <w:sz w:val="19"/>
                <w:szCs w:val="19"/>
              </w:rPr>
              <w:t>Нуль (0; 0,0)</w:t>
            </w:r>
          </w:p>
        </w:tc>
        <w:tc>
          <w:tcPr>
            <w:tcW w:w="6943" w:type="dxa"/>
            <w:shd w:val="clear" w:color="auto" w:fill="auto"/>
          </w:tcPr>
          <w:p w:rsidR="009640BA" w:rsidRPr="00D8392C" w:rsidRDefault="009640BA" w:rsidP="00DB1A73">
            <w:pPr>
              <w:spacing w:line="200" w:lineRule="exact"/>
              <w:ind w:left="175" w:hanging="175"/>
              <w:rPr>
                <w:rFonts w:eastAsia="Arial Unicode MS"/>
                <w:lang w:val="uk-UA"/>
              </w:rPr>
            </w:pPr>
            <w:r w:rsidRPr="00D8392C">
              <w:rPr>
                <w:rFonts w:ascii="Arial" w:hAnsi="Arial" w:cs="Arial"/>
                <w:noProof/>
                <w:sz w:val="19"/>
                <w:szCs w:val="19"/>
                <w:lang w:val="uk-UA"/>
              </w:rPr>
              <w:t xml:space="preserve">– </w:t>
            </w:r>
            <w:r w:rsidRPr="00D8392C">
              <w:rPr>
                <w:rFonts w:ascii="Arial" w:hAnsi="Arial" w:cs="Arial"/>
                <w:noProof/>
                <w:sz w:val="19"/>
                <w:szCs w:val="19"/>
              </w:rPr>
              <w:t>явища відбулися, але у вимірах, менших за ті, що можуть бути виражені використаними у таблиці розрядами</w:t>
            </w:r>
          </w:p>
        </w:tc>
      </w:tr>
      <w:tr w:rsidR="009640BA" w:rsidRPr="00D8392C" w:rsidTr="00DB1A73">
        <w:tc>
          <w:tcPr>
            <w:tcW w:w="2127" w:type="dxa"/>
            <w:shd w:val="clear" w:color="auto" w:fill="auto"/>
          </w:tcPr>
          <w:p w:rsidR="009640BA" w:rsidRPr="00D8392C" w:rsidRDefault="009640BA" w:rsidP="00DB1A73">
            <w:pPr>
              <w:spacing w:line="200" w:lineRule="exact"/>
              <w:rPr>
                <w:rFonts w:eastAsia="Arial Unicode MS"/>
                <w:lang w:val="uk-UA"/>
              </w:rPr>
            </w:pPr>
            <w:r w:rsidRPr="00D8392C">
              <w:rPr>
                <w:rFonts w:ascii="Arial" w:hAnsi="Arial" w:cs="Arial"/>
                <w:noProof/>
                <w:sz w:val="19"/>
                <w:szCs w:val="19"/>
              </w:rPr>
              <w:t>Символ (…¹)</w:t>
            </w:r>
          </w:p>
        </w:tc>
        <w:tc>
          <w:tcPr>
            <w:tcW w:w="6943" w:type="dxa"/>
            <w:shd w:val="clear" w:color="auto" w:fill="auto"/>
          </w:tcPr>
          <w:p w:rsidR="009640BA" w:rsidRPr="00D8392C" w:rsidRDefault="009640BA" w:rsidP="00DB1A73">
            <w:pPr>
              <w:spacing w:line="200" w:lineRule="exact"/>
              <w:ind w:left="175" w:hanging="175"/>
              <w:rPr>
                <w:rFonts w:eastAsia="Arial Unicode MS"/>
                <w:lang w:val="uk-UA"/>
              </w:rPr>
            </w:pPr>
            <w:r w:rsidRPr="00D8392C">
              <w:rPr>
                <w:rFonts w:ascii="Arial" w:hAnsi="Arial" w:cs="Arial"/>
                <w:noProof/>
                <w:sz w:val="19"/>
                <w:szCs w:val="19"/>
                <w:lang w:val="uk-UA"/>
              </w:rPr>
              <w:t>– д</w:t>
            </w:r>
            <w:r w:rsidRPr="00D8392C">
              <w:rPr>
                <w:rFonts w:ascii="Arial" w:hAnsi="Arial" w:cs="Arial"/>
                <w:noProof/>
                <w:sz w:val="19"/>
                <w:szCs w:val="19"/>
              </w:rPr>
              <w:t xml:space="preserve">ані </w:t>
            </w:r>
            <w:r>
              <w:rPr>
                <w:rFonts w:ascii="Arial" w:hAnsi="Arial" w:cs="Arial"/>
                <w:noProof/>
                <w:sz w:val="19"/>
                <w:szCs w:val="19"/>
                <w:lang w:val="uk-UA"/>
              </w:rPr>
              <w:t>не оприлюднюються з</w:t>
            </w:r>
            <w:r w:rsidRPr="00D8392C">
              <w:rPr>
                <w:rFonts w:ascii="Arial" w:hAnsi="Arial" w:cs="Arial"/>
                <w:noProof/>
                <w:sz w:val="19"/>
                <w:szCs w:val="19"/>
              </w:rPr>
              <w:t xml:space="preserve"> метою забезпечення виконання вимог Закону України "Про державну статистику" щодо конфіденційності інформації</w:t>
            </w:r>
          </w:p>
        </w:tc>
      </w:tr>
      <w:tr w:rsidR="009640BA" w:rsidRPr="00D8392C" w:rsidTr="00DB1A73">
        <w:tc>
          <w:tcPr>
            <w:tcW w:w="2127" w:type="dxa"/>
            <w:shd w:val="clear" w:color="auto" w:fill="auto"/>
          </w:tcPr>
          <w:p w:rsidR="009640BA" w:rsidRPr="003F0C62" w:rsidRDefault="009640BA" w:rsidP="00DB1A73">
            <w:pPr>
              <w:spacing w:line="200" w:lineRule="exact"/>
              <w:rPr>
                <w:rFonts w:eastAsia="Arial Unicode MS"/>
                <w:lang w:val="uk-UA"/>
              </w:rPr>
            </w:pPr>
            <w:r>
              <w:rPr>
                <w:rFonts w:ascii="Arial" w:hAnsi="Arial" w:cs="Arial"/>
                <w:noProof/>
                <w:spacing w:val="-2"/>
                <w:sz w:val="19"/>
                <w:szCs w:val="19"/>
                <w:lang w:val="uk-UA"/>
              </w:rPr>
              <w:t>"</w:t>
            </w:r>
            <w:r w:rsidRPr="00D8392C">
              <w:rPr>
                <w:rFonts w:ascii="Arial" w:hAnsi="Arial" w:cs="Arial"/>
                <w:noProof/>
                <w:spacing w:val="-2"/>
                <w:sz w:val="19"/>
                <w:szCs w:val="19"/>
              </w:rPr>
              <w:t>у тому числі</w:t>
            </w:r>
            <w:r>
              <w:rPr>
                <w:rFonts w:ascii="Arial" w:hAnsi="Arial" w:cs="Arial"/>
                <w:noProof/>
                <w:spacing w:val="-2"/>
                <w:sz w:val="19"/>
                <w:szCs w:val="19"/>
                <w:lang w:val="uk-UA"/>
              </w:rPr>
              <w:t>"</w:t>
            </w:r>
            <w:r w:rsidRPr="00D8392C">
              <w:rPr>
                <w:rFonts w:ascii="Arial" w:hAnsi="Arial" w:cs="Arial"/>
                <w:noProof/>
                <w:spacing w:val="-2"/>
                <w:sz w:val="19"/>
                <w:szCs w:val="19"/>
              </w:rPr>
              <w:t xml:space="preserve">, </w:t>
            </w:r>
            <w:r>
              <w:rPr>
                <w:rFonts w:ascii="Arial" w:hAnsi="Arial" w:cs="Arial"/>
                <w:noProof/>
                <w:spacing w:val="-2"/>
                <w:sz w:val="19"/>
                <w:szCs w:val="19"/>
                <w:lang w:val="uk-UA"/>
              </w:rPr>
              <w:t>"</w:t>
            </w:r>
            <w:r w:rsidRPr="00D8392C">
              <w:rPr>
                <w:rFonts w:ascii="Arial" w:hAnsi="Arial" w:cs="Arial"/>
                <w:noProof/>
                <w:spacing w:val="-2"/>
                <w:sz w:val="19"/>
                <w:szCs w:val="19"/>
              </w:rPr>
              <w:t>з них</w:t>
            </w:r>
            <w:r>
              <w:rPr>
                <w:rFonts w:ascii="Arial" w:hAnsi="Arial" w:cs="Arial"/>
                <w:noProof/>
                <w:spacing w:val="-2"/>
                <w:sz w:val="19"/>
                <w:szCs w:val="19"/>
                <w:lang w:val="uk-UA"/>
              </w:rPr>
              <w:t>"</w:t>
            </w:r>
          </w:p>
        </w:tc>
        <w:tc>
          <w:tcPr>
            <w:tcW w:w="6943" w:type="dxa"/>
            <w:shd w:val="clear" w:color="auto" w:fill="auto"/>
          </w:tcPr>
          <w:p w:rsidR="009640BA" w:rsidRPr="00D8392C" w:rsidRDefault="009640BA" w:rsidP="00DB1A73">
            <w:pPr>
              <w:spacing w:line="200" w:lineRule="exact"/>
              <w:ind w:left="175" w:hanging="175"/>
              <w:rPr>
                <w:rFonts w:eastAsia="Arial Unicode MS"/>
                <w:lang w:val="uk-UA"/>
              </w:rPr>
            </w:pPr>
            <w:r w:rsidRPr="00D8392C">
              <w:rPr>
                <w:rFonts w:ascii="Arial" w:hAnsi="Arial" w:cs="Arial"/>
                <w:noProof/>
                <w:sz w:val="19"/>
                <w:szCs w:val="19"/>
                <w:lang w:val="uk-UA"/>
              </w:rPr>
              <w:t xml:space="preserve">– </w:t>
            </w:r>
            <w:r w:rsidRPr="00D8392C">
              <w:rPr>
                <w:rFonts w:ascii="Arial" w:hAnsi="Arial" w:cs="Arial"/>
                <w:noProof/>
                <w:sz w:val="19"/>
                <w:szCs w:val="19"/>
              </w:rPr>
              <w:t xml:space="preserve">означає, що наведено не всі доданки загальної суми. </w:t>
            </w:r>
            <w:r>
              <w:rPr>
                <w:rFonts w:ascii="Arial" w:hAnsi="Arial" w:cs="Arial"/>
                <w:noProof/>
                <w:sz w:val="19"/>
                <w:szCs w:val="19"/>
                <w:lang w:val="uk-UA"/>
              </w:rPr>
              <w:t>Трапляються</w:t>
            </w:r>
            <w:r w:rsidRPr="00D8392C">
              <w:rPr>
                <w:rFonts w:ascii="Arial" w:hAnsi="Arial" w:cs="Arial"/>
                <w:noProof/>
                <w:sz w:val="19"/>
                <w:szCs w:val="19"/>
              </w:rPr>
              <w:t xml:space="preserve"> випадки,</w:t>
            </w:r>
            <w:r>
              <w:rPr>
                <w:rFonts w:ascii="Arial" w:hAnsi="Arial" w:cs="Arial"/>
                <w:noProof/>
                <w:sz w:val="19"/>
                <w:szCs w:val="19"/>
                <w:lang w:val="uk-UA"/>
              </w:rPr>
              <w:t xml:space="preserve"> </w:t>
            </w:r>
            <w:r w:rsidRPr="00D8392C">
              <w:rPr>
                <w:rFonts w:ascii="Arial" w:hAnsi="Arial" w:cs="Arial"/>
                <w:noProof/>
                <w:sz w:val="19"/>
                <w:szCs w:val="19"/>
              </w:rPr>
              <w:t>коли наведено всі доданки загальної суми, а при округленні сума складових не дорівнює підсумку.</w:t>
            </w:r>
          </w:p>
        </w:tc>
      </w:tr>
    </w:tbl>
    <w:p w:rsidR="009640BA" w:rsidRPr="004225BC" w:rsidRDefault="009640BA" w:rsidP="009640BA">
      <w:pPr>
        <w:pStyle w:val="11"/>
        <w:tabs>
          <w:tab w:val="left" w:pos="1816"/>
          <w:tab w:val="left" w:pos="2158"/>
          <w:tab w:val="left" w:pos="7937"/>
        </w:tabs>
        <w:spacing w:line="120" w:lineRule="auto"/>
        <w:rPr>
          <w:rFonts w:ascii="Arial" w:hAnsi="Arial" w:cs="Arial"/>
          <w:noProof/>
          <w:sz w:val="15"/>
          <w:szCs w:val="15"/>
          <w:lang w:val="ru-RU"/>
        </w:rPr>
      </w:pPr>
    </w:p>
    <w:p w:rsidR="009640BA" w:rsidRDefault="009640BA" w:rsidP="009640BA">
      <w:pPr>
        <w:pStyle w:val="11"/>
        <w:tabs>
          <w:tab w:val="left" w:pos="1816"/>
          <w:tab w:val="left" w:pos="2158"/>
          <w:tab w:val="left" w:pos="7937"/>
        </w:tabs>
        <w:spacing w:line="204" w:lineRule="auto"/>
        <w:ind w:left="2160" w:hanging="2160"/>
        <w:rPr>
          <w:rFonts w:ascii="Arial" w:hAnsi="Arial" w:cs="Arial"/>
          <w:noProof/>
          <w:sz w:val="19"/>
          <w:szCs w:val="19"/>
        </w:rPr>
      </w:pPr>
      <w:r w:rsidRPr="000662B9">
        <w:rPr>
          <w:rFonts w:ascii="Arial" w:hAnsi="Arial" w:cs="Arial"/>
          <w:noProof/>
          <w:sz w:val="19"/>
          <w:szCs w:val="19"/>
        </w:rPr>
        <w:t>Розходження між підсумком і сумою складових зумовлені округленням даних.</w:t>
      </w:r>
    </w:p>
    <w:p w:rsidR="009640BA" w:rsidRDefault="009640BA" w:rsidP="009640BA">
      <w:pPr>
        <w:pStyle w:val="11"/>
        <w:tabs>
          <w:tab w:val="left" w:pos="1816"/>
          <w:tab w:val="left" w:pos="2158"/>
          <w:tab w:val="left" w:pos="7937"/>
        </w:tabs>
        <w:spacing w:line="120" w:lineRule="auto"/>
        <w:rPr>
          <w:rFonts w:ascii="Arial" w:hAnsi="Arial" w:cs="Arial"/>
          <w:noProof/>
          <w:sz w:val="19"/>
          <w:szCs w:val="19"/>
          <w:lang w:val="ru-RU"/>
        </w:rPr>
      </w:pPr>
    </w:p>
    <w:p w:rsidR="009640BA" w:rsidRPr="003968C7" w:rsidRDefault="009640BA" w:rsidP="009640BA">
      <w:pPr>
        <w:autoSpaceDE w:val="0"/>
        <w:autoSpaceDN w:val="0"/>
        <w:adjustRightInd w:val="0"/>
        <w:rPr>
          <w:rFonts w:ascii="Arial" w:hAnsi="Arial"/>
          <w:i/>
          <w:caps/>
          <w:noProof/>
          <w:lang w:val="uk-UA"/>
        </w:rPr>
      </w:pPr>
      <w:r w:rsidRPr="003968C7">
        <w:rPr>
          <w:rFonts w:ascii="Arial" w:hAnsi="Arial"/>
          <w:i/>
          <w:caps/>
          <w:noProof/>
          <w:lang w:val="uk-UA"/>
        </w:rPr>
        <w:t>CONVENTIONAL SYMBOLS</w:t>
      </w:r>
    </w:p>
    <w:p w:rsidR="009640BA" w:rsidRPr="003968C7" w:rsidRDefault="009640BA" w:rsidP="009640BA">
      <w:pPr>
        <w:pStyle w:val="11"/>
        <w:tabs>
          <w:tab w:val="left" w:pos="1816"/>
          <w:tab w:val="left" w:pos="2158"/>
          <w:tab w:val="left" w:pos="7937"/>
        </w:tabs>
        <w:spacing w:line="120" w:lineRule="auto"/>
        <w:rPr>
          <w:rFonts w:ascii="Arial" w:hAnsi="Arial" w:cs="Arial"/>
          <w:i/>
          <w:noProof/>
          <w:sz w:val="19"/>
          <w:szCs w:val="19"/>
        </w:rPr>
      </w:pPr>
    </w:p>
    <w:tbl>
      <w:tblPr>
        <w:tblW w:w="0" w:type="auto"/>
        <w:tblLook w:val="01E0" w:firstRow="1" w:lastRow="1" w:firstColumn="1" w:lastColumn="1" w:noHBand="0" w:noVBand="0"/>
      </w:tblPr>
      <w:tblGrid>
        <w:gridCol w:w="2127"/>
        <w:gridCol w:w="6943"/>
      </w:tblGrid>
      <w:tr w:rsidR="009640BA" w:rsidRPr="00D8392C" w:rsidTr="00DB1A73">
        <w:tc>
          <w:tcPr>
            <w:tcW w:w="2127" w:type="dxa"/>
            <w:shd w:val="clear" w:color="auto" w:fill="auto"/>
          </w:tcPr>
          <w:p w:rsidR="009640BA" w:rsidRPr="008131F5" w:rsidRDefault="009640BA" w:rsidP="00DB1A73">
            <w:pPr>
              <w:rPr>
                <w:rFonts w:eastAsia="Arial Unicode MS"/>
                <w:i/>
                <w:lang w:val="uk-UA"/>
              </w:rPr>
            </w:pPr>
            <w:r w:rsidRPr="008131F5">
              <w:rPr>
                <w:rFonts w:ascii="Arial" w:hAnsi="Arial" w:cs="Arial"/>
                <w:i/>
                <w:noProof/>
                <w:sz w:val="19"/>
                <w:szCs w:val="19"/>
                <w:lang w:val="uk-UA"/>
              </w:rPr>
              <w:t>Dash (–)</w:t>
            </w:r>
          </w:p>
        </w:tc>
        <w:tc>
          <w:tcPr>
            <w:tcW w:w="6943" w:type="dxa"/>
            <w:shd w:val="clear" w:color="auto" w:fill="auto"/>
          </w:tcPr>
          <w:p w:rsidR="009640BA" w:rsidRPr="008131F5" w:rsidRDefault="009640BA" w:rsidP="00DB1A73">
            <w:pPr>
              <w:autoSpaceDE w:val="0"/>
              <w:autoSpaceDN w:val="0"/>
              <w:adjustRightInd w:val="0"/>
              <w:rPr>
                <w:rFonts w:ascii="Arial" w:hAnsi="Arial" w:cs="Arial"/>
                <w:i/>
                <w:noProof/>
                <w:sz w:val="19"/>
                <w:szCs w:val="19"/>
                <w:lang w:val="uk-UA"/>
              </w:rPr>
            </w:pPr>
            <w:r w:rsidRPr="008131F5">
              <w:rPr>
                <w:rFonts w:ascii="Arial" w:hAnsi="Arial" w:cs="Arial"/>
                <w:i/>
                <w:noProof/>
                <w:sz w:val="19"/>
                <w:szCs w:val="19"/>
                <w:lang w:val="uk-UA"/>
              </w:rPr>
              <w:t>– not observed</w:t>
            </w:r>
          </w:p>
        </w:tc>
      </w:tr>
      <w:tr w:rsidR="009640BA" w:rsidRPr="00D8392C" w:rsidTr="00DB1A73">
        <w:tc>
          <w:tcPr>
            <w:tcW w:w="2127" w:type="dxa"/>
            <w:shd w:val="clear" w:color="auto" w:fill="auto"/>
          </w:tcPr>
          <w:p w:rsidR="009640BA" w:rsidRPr="008131F5" w:rsidRDefault="009640BA" w:rsidP="00DB1A73">
            <w:pPr>
              <w:rPr>
                <w:rFonts w:eastAsia="Arial Unicode MS"/>
                <w:i/>
                <w:lang w:val="uk-UA"/>
              </w:rPr>
            </w:pPr>
            <w:r w:rsidRPr="008131F5">
              <w:rPr>
                <w:rFonts w:ascii="Arial" w:hAnsi="Arial" w:cs="Arial"/>
                <w:i/>
                <w:noProof/>
                <w:sz w:val="19"/>
                <w:szCs w:val="19"/>
                <w:lang w:val="uk-UA"/>
              </w:rPr>
              <w:t>Dots (…)</w:t>
            </w:r>
          </w:p>
        </w:tc>
        <w:tc>
          <w:tcPr>
            <w:tcW w:w="6943" w:type="dxa"/>
            <w:shd w:val="clear" w:color="auto" w:fill="auto"/>
          </w:tcPr>
          <w:p w:rsidR="009640BA" w:rsidRPr="008131F5" w:rsidRDefault="009640BA" w:rsidP="00DB1A73">
            <w:pPr>
              <w:autoSpaceDE w:val="0"/>
              <w:autoSpaceDN w:val="0"/>
              <w:adjustRightInd w:val="0"/>
              <w:rPr>
                <w:rFonts w:ascii="Arial" w:hAnsi="Arial" w:cs="Arial"/>
                <w:i/>
                <w:noProof/>
                <w:sz w:val="19"/>
                <w:szCs w:val="19"/>
                <w:lang w:val="uk-UA"/>
              </w:rPr>
            </w:pPr>
            <w:r w:rsidRPr="008131F5">
              <w:rPr>
                <w:rFonts w:ascii="Arial" w:hAnsi="Arial" w:cs="Arial"/>
                <w:i/>
                <w:noProof/>
                <w:sz w:val="19"/>
                <w:szCs w:val="19"/>
                <w:lang w:val="uk-UA"/>
              </w:rPr>
              <w:t>– not available</w:t>
            </w:r>
          </w:p>
        </w:tc>
      </w:tr>
      <w:tr w:rsidR="009640BA" w:rsidRPr="007C407E" w:rsidTr="00DB1A73">
        <w:tc>
          <w:tcPr>
            <w:tcW w:w="2127" w:type="dxa"/>
            <w:shd w:val="clear" w:color="auto" w:fill="auto"/>
          </w:tcPr>
          <w:p w:rsidR="009640BA" w:rsidRPr="008131F5" w:rsidRDefault="009640BA" w:rsidP="00DB1A73">
            <w:pPr>
              <w:rPr>
                <w:rFonts w:eastAsia="Arial Unicode MS"/>
                <w:i/>
                <w:lang w:val="uk-UA"/>
              </w:rPr>
            </w:pPr>
            <w:r w:rsidRPr="008131F5">
              <w:rPr>
                <w:rFonts w:ascii="Arial" w:hAnsi="Arial" w:cs="Arial"/>
                <w:i/>
                <w:noProof/>
                <w:sz w:val="19"/>
                <w:szCs w:val="19"/>
                <w:lang w:val="uk-UA"/>
              </w:rPr>
              <w:t>Zero (0; 0,0)</w:t>
            </w:r>
          </w:p>
        </w:tc>
        <w:tc>
          <w:tcPr>
            <w:tcW w:w="6943" w:type="dxa"/>
            <w:shd w:val="clear" w:color="auto" w:fill="auto"/>
          </w:tcPr>
          <w:p w:rsidR="009640BA" w:rsidRPr="008131F5" w:rsidRDefault="009640BA" w:rsidP="00DB1A73">
            <w:pPr>
              <w:ind w:left="175" w:hanging="175"/>
              <w:rPr>
                <w:rFonts w:eastAsia="Arial Unicode MS"/>
                <w:i/>
                <w:lang w:val="en-US"/>
              </w:rPr>
            </w:pPr>
            <w:r w:rsidRPr="008131F5">
              <w:rPr>
                <w:rFonts w:ascii="Arial" w:hAnsi="Arial" w:cs="Arial"/>
                <w:i/>
                <w:noProof/>
                <w:sz w:val="19"/>
                <w:szCs w:val="19"/>
                <w:lang w:val="uk-UA"/>
              </w:rPr>
              <w:t xml:space="preserve">– data are very </w:t>
            </w:r>
            <w:r w:rsidRPr="008131F5">
              <w:rPr>
                <w:rFonts w:ascii="Arial" w:hAnsi="Arial" w:cs="Arial"/>
                <w:i/>
                <w:noProof/>
                <w:sz w:val="19"/>
                <w:szCs w:val="19"/>
                <w:lang w:val="en-US"/>
              </w:rPr>
              <w:t xml:space="preserve">negligible </w:t>
            </w:r>
            <w:r w:rsidRPr="008131F5">
              <w:rPr>
                <w:rFonts w:ascii="Arial" w:hAnsi="Arial" w:cs="Arial"/>
                <w:i/>
                <w:noProof/>
                <w:sz w:val="19"/>
                <w:szCs w:val="19"/>
                <w:lang w:val="uk-UA"/>
              </w:rPr>
              <w:t xml:space="preserve">for </w:t>
            </w:r>
            <w:r w:rsidRPr="008131F5">
              <w:rPr>
                <w:rFonts w:ascii="Arial" w:hAnsi="Arial" w:cs="Arial"/>
                <w:i/>
                <w:noProof/>
                <w:sz w:val="19"/>
                <w:szCs w:val="19"/>
                <w:lang w:val="en-US"/>
              </w:rPr>
              <w:t>the</w:t>
            </w:r>
            <w:r w:rsidRPr="008131F5">
              <w:rPr>
                <w:rFonts w:ascii="Arial" w:hAnsi="Arial" w:cs="Arial"/>
                <w:i/>
                <w:noProof/>
                <w:sz w:val="19"/>
                <w:szCs w:val="19"/>
                <w:lang w:val="uk-UA"/>
              </w:rPr>
              <w:t xml:space="preserve"> units of measure</w:t>
            </w:r>
            <w:r w:rsidRPr="008131F5">
              <w:rPr>
                <w:rFonts w:ascii="Arial" w:hAnsi="Arial" w:cs="Arial"/>
                <w:i/>
                <w:noProof/>
                <w:sz w:val="19"/>
                <w:szCs w:val="19"/>
                <w:lang w:val="en-US"/>
              </w:rPr>
              <w:t>ment</w:t>
            </w:r>
          </w:p>
        </w:tc>
      </w:tr>
      <w:tr w:rsidR="009640BA" w:rsidRPr="007C407E" w:rsidTr="00DB1A73">
        <w:tc>
          <w:tcPr>
            <w:tcW w:w="2127" w:type="dxa"/>
            <w:shd w:val="clear" w:color="auto" w:fill="auto"/>
          </w:tcPr>
          <w:p w:rsidR="009640BA" w:rsidRPr="008131F5" w:rsidRDefault="009640BA" w:rsidP="00DB1A73">
            <w:pPr>
              <w:rPr>
                <w:rFonts w:eastAsia="Arial Unicode MS"/>
                <w:i/>
                <w:lang w:val="uk-UA"/>
              </w:rPr>
            </w:pPr>
            <w:r w:rsidRPr="008131F5">
              <w:rPr>
                <w:rFonts w:ascii="Arial" w:hAnsi="Arial" w:cs="Arial"/>
                <w:i/>
                <w:noProof/>
                <w:sz w:val="19"/>
                <w:szCs w:val="19"/>
              </w:rPr>
              <w:t xml:space="preserve">Symbol ( …¹ )  </w:t>
            </w:r>
          </w:p>
        </w:tc>
        <w:tc>
          <w:tcPr>
            <w:tcW w:w="6943" w:type="dxa"/>
            <w:shd w:val="clear" w:color="auto" w:fill="auto"/>
          </w:tcPr>
          <w:p w:rsidR="009640BA" w:rsidRPr="008131F5" w:rsidRDefault="009640BA" w:rsidP="00DB1A73">
            <w:pPr>
              <w:ind w:left="175" w:hanging="175"/>
              <w:rPr>
                <w:rFonts w:ascii="Arial" w:hAnsi="Arial" w:cs="Arial"/>
                <w:i/>
                <w:noProof/>
                <w:sz w:val="19"/>
                <w:szCs w:val="19"/>
                <w:lang w:val="uk-UA"/>
              </w:rPr>
            </w:pPr>
            <w:r w:rsidRPr="008131F5">
              <w:rPr>
                <w:rFonts w:ascii="Arial" w:hAnsi="Arial" w:cs="Arial"/>
                <w:i/>
                <w:noProof/>
                <w:sz w:val="19"/>
                <w:szCs w:val="19"/>
                <w:lang w:val="uk-UA"/>
              </w:rPr>
              <w:t xml:space="preserve">– </w:t>
            </w:r>
            <w:r w:rsidRPr="008131F5">
              <w:rPr>
                <w:rFonts w:ascii="Arial" w:hAnsi="Arial" w:cs="Arial"/>
                <w:i/>
                <w:noProof/>
                <w:sz w:val="19"/>
                <w:szCs w:val="19"/>
                <w:lang w:val="en-US"/>
              </w:rPr>
              <w:t>a</w:t>
            </w:r>
            <w:r w:rsidRPr="008131F5">
              <w:rPr>
                <w:rFonts w:ascii="Arial" w:hAnsi="Arial" w:cs="Arial"/>
                <w:i/>
                <w:noProof/>
                <w:sz w:val="19"/>
                <w:szCs w:val="19"/>
                <w:lang w:val="uk-UA"/>
              </w:rPr>
              <w:t>ccording to Ukraine’s Law On State Statistics, information is confidential</w:t>
            </w:r>
          </w:p>
        </w:tc>
      </w:tr>
      <w:tr w:rsidR="009640BA" w:rsidRPr="007C407E" w:rsidTr="00DB1A73">
        <w:tc>
          <w:tcPr>
            <w:tcW w:w="2127" w:type="dxa"/>
            <w:shd w:val="clear" w:color="auto" w:fill="auto"/>
          </w:tcPr>
          <w:p w:rsidR="009640BA" w:rsidRPr="008131F5" w:rsidRDefault="009640BA" w:rsidP="00DB1A73">
            <w:pPr>
              <w:rPr>
                <w:rFonts w:eastAsia="Arial Unicode MS"/>
                <w:i/>
                <w:lang w:val="uk-UA"/>
              </w:rPr>
            </w:pPr>
            <w:r w:rsidRPr="008131F5">
              <w:rPr>
                <w:rFonts w:ascii="Arial" w:hAnsi="Arial" w:cs="Arial"/>
                <w:i/>
                <w:noProof/>
                <w:sz w:val="19"/>
                <w:szCs w:val="19"/>
                <w:lang w:val="uk-UA"/>
              </w:rPr>
              <w:t>“of which”, "including"</w:t>
            </w:r>
          </w:p>
        </w:tc>
        <w:tc>
          <w:tcPr>
            <w:tcW w:w="6943" w:type="dxa"/>
            <w:shd w:val="clear" w:color="auto" w:fill="auto"/>
          </w:tcPr>
          <w:p w:rsidR="009640BA" w:rsidRPr="008131F5" w:rsidRDefault="009640BA" w:rsidP="00DB1A73">
            <w:pPr>
              <w:ind w:left="175" w:hanging="175"/>
              <w:rPr>
                <w:rFonts w:ascii="Arial" w:hAnsi="Arial" w:cs="Arial"/>
                <w:i/>
                <w:noProof/>
                <w:sz w:val="19"/>
                <w:szCs w:val="19"/>
                <w:lang w:val="en-US"/>
              </w:rPr>
            </w:pPr>
            <w:r w:rsidRPr="008131F5">
              <w:rPr>
                <w:rFonts w:ascii="Arial" w:hAnsi="Arial" w:cs="Arial"/>
                <w:i/>
                <w:noProof/>
                <w:sz w:val="19"/>
                <w:szCs w:val="19"/>
                <w:lang w:val="uk-UA"/>
              </w:rPr>
              <w:t>– not all components of the total sum are given</w:t>
            </w:r>
            <w:r w:rsidRPr="008131F5">
              <w:rPr>
                <w:rFonts w:ascii="Arial" w:hAnsi="Arial" w:cs="Arial"/>
                <w:i/>
                <w:noProof/>
                <w:sz w:val="19"/>
                <w:szCs w:val="19"/>
                <w:lang w:val="en-US"/>
              </w:rPr>
              <w:t xml:space="preserve">. There are cases when all components of the total sum are given, however when rounding the sum of the </w:t>
            </w:r>
            <w:r w:rsidRPr="008131F5">
              <w:rPr>
                <w:rFonts w:ascii="Arial" w:hAnsi="Arial" w:cs="Arial"/>
                <w:i/>
                <w:noProof/>
                <w:sz w:val="19"/>
                <w:szCs w:val="19"/>
                <w:lang w:val="uk-UA"/>
              </w:rPr>
              <w:t>components</w:t>
            </w:r>
            <w:r w:rsidRPr="008131F5">
              <w:rPr>
                <w:rFonts w:ascii="Arial" w:hAnsi="Arial" w:cs="Arial"/>
                <w:i/>
                <w:noProof/>
                <w:sz w:val="19"/>
                <w:szCs w:val="19"/>
                <w:lang w:val="en-US"/>
              </w:rPr>
              <w:t xml:space="preserve"> may not equal the total</w:t>
            </w:r>
          </w:p>
        </w:tc>
      </w:tr>
    </w:tbl>
    <w:p w:rsidR="009640BA" w:rsidRPr="004225BC" w:rsidRDefault="009640BA" w:rsidP="009640BA">
      <w:pPr>
        <w:pStyle w:val="11"/>
        <w:tabs>
          <w:tab w:val="left" w:pos="1816"/>
          <w:tab w:val="left" w:pos="2520"/>
          <w:tab w:val="left" w:pos="7937"/>
        </w:tabs>
        <w:spacing w:line="204" w:lineRule="auto"/>
        <w:ind w:left="2495"/>
        <w:rPr>
          <w:rFonts w:ascii="Arial" w:hAnsi="Arial" w:cs="Arial"/>
          <w:i/>
          <w:noProof/>
          <w:sz w:val="15"/>
          <w:szCs w:val="15"/>
        </w:rPr>
      </w:pPr>
    </w:p>
    <w:p w:rsidR="009640BA" w:rsidRDefault="009640BA" w:rsidP="009640BA">
      <w:pPr>
        <w:autoSpaceDE w:val="0"/>
        <w:autoSpaceDN w:val="0"/>
        <w:adjustRightInd w:val="0"/>
        <w:rPr>
          <w:rFonts w:ascii="Arial" w:hAnsi="Arial" w:cs="Arial"/>
          <w:i/>
          <w:iCs/>
          <w:sz w:val="19"/>
          <w:szCs w:val="19"/>
          <w:lang w:val="uk-UA" w:eastAsia="uk-UA"/>
        </w:rPr>
      </w:pPr>
      <w:proofErr w:type="spellStart"/>
      <w:r>
        <w:rPr>
          <w:rFonts w:ascii="Arial" w:hAnsi="Arial" w:cs="Arial"/>
          <w:i/>
          <w:iCs/>
          <w:sz w:val="19"/>
          <w:szCs w:val="19"/>
          <w:lang w:val="uk-UA" w:eastAsia="uk-UA"/>
        </w:rPr>
        <w:t>There</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are</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cases</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when</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all</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components</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of</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the</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total</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sum</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are</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given</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however</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when</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rounding</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the</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sum</w:t>
      </w:r>
      <w:proofErr w:type="spellEnd"/>
    </w:p>
    <w:p w:rsidR="009640BA" w:rsidRPr="00F32156" w:rsidRDefault="009640BA" w:rsidP="00D11ADE">
      <w:pPr>
        <w:autoSpaceDE w:val="0"/>
        <w:autoSpaceDN w:val="0"/>
        <w:adjustRightInd w:val="0"/>
        <w:rPr>
          <w:rFonts w:ascii="Arial" w:hAnsi="Arial" w:cs="Arial"/>
          <w:i/>
          <w:sz w:val="20"/>
          <w:szCs w:val="20"/>
          <w:lang w:val="uk-UA"/>
        </w:rPr>
      </w:pPr>
      <w:proofErr w:type="spellStart"/>
      <w:r>
        <w:rPr>
          <w:rFonts w:ascii="Arial" w:hAnsi="Arial" w:cs="Arial"/>
          <w:i/>
          <w:iCs/>
          <w:sz w:val="19"/>
          <w:szCs w:val="19"/>
          <w:lang w:val="uk-UA" w:eastAsia="uk-UA"/>
        </w:rPr>
        <w:t>of</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the</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components</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does</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not</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equal</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the</w:t>
      </w:r>
      <w:proofErr w:type="spellEnd"/>
      <w:r>
        <w:rPr>
          <w:rFonts w:ascii="Arial" w:hAnsi="Arial" w:cs="Arial"/>
          <w:i/>
          <w:iCs/>
          <w:sz w:val="19"/>
          <w:szCs w:val="19"/>
          <w:lang w:val="uk-UA" w:eastAsia="uk-UA"/>
        </w:rPr>
        <w:t xml:space="preserve"> </w:t>
      </w:r>
      <w:proofErr w:type="spellStart"/>
      <w:r>
        <w:rPr>
          <w:rFonts w:ascii="Arial" w:hAnsi="Arial" w:cs="Arial"/>
          <w:i/>
          <w:iCs/>
          <w:sz w:val="19"/>
          <w:szCs w:val="19"/>
          <w:lang w:val="uk-UA" w:eastAsia="uk-UA"/>
        </w:rPr>
        <w:t>total</w:t>
      </w:r>
      <w:proofErr w:type="spellEnd"/>
      <w:r>
        <w:rPr>
          <w:rFonts w:ascii="Arial" w:hAnsi="Arial" w:cs="Arial"/>
          <w:i/>
          <w:iCs/>
          <w:sz w:val="19"/>
          <w:szCs w:val="19"/>
          <w:lang w:val="uk-UA" w:eastAsia="uk-UA"/>
        </w:rPr>
        <w:t>.</w:t>
      </w:r>
    </w:p>
    <w:sectPr w:rsidR="009640BA" w:rsidRPr="00F32156" w:rsidSect="004821E4">
      <w:footerReference w:type="even" r:id="rId6"/>
      <w:footerReference w:type="default" r:id="rId7"/>
      <w:pgSz w:w="11906" w:h="16838"/>
      <w:pgMar w:top="1418" w:right="1418"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9AB" w:rsidRDefault="003E39AB" w:rsidP="006F6CF6">
      <w:r>
        <w:separator/>
      </w:r>
    </w:p>
  </w:endnote>
  <w:endnote w:type="continuationSeparator" w:id="0">
    <w:p w:rsidR="003E39AB" w:rsidRDefault="003E39AB" w:rsidP="006F6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1E4" w:rsidRPr="004821E4" w:rsidRDefault="004821E4" w:rsidP="004821E4">
    <w:pPr>
      <w:pStyle w:val="aa"/>
      <w:pBdr>
        <w:top w:val="single" w:sz="6" w:space="6" w:color="auto"/>
      </w:pBdr>
      <w:tabs>
        <w:tab w:val="left" w:pos="2895"/>
        <w:tab w:val="left" w:pos="4515"/>
        <w:tab w:val="right" w:pos="7920"/>
      </w:tabs>
      <w:jc w:val="right"/>
      <w:rPr>
        <w:rStyle w:val="ac"/>
        <w:sz w:val="20"/>
        <w:szCs w:val="20"/>
      </w:rPr>
    </w:pPr>
    <w:r w:rsidRPr="004821E4">
      <w:rPr>
        <w:rStyle w:val="ac"/>
        <w:rFonts w:ascii="Arial" w:hAnsi="Arial" w:cs="Arial"/>
        <w:sz w:val="20"/>
        <w:szCs w:val="20"/>
      </w:rPr>
      <w:fldChar w:fldCharType="begin"/>
    </w:r>
    <w:r w:rsidRPr="004821E4">
      <w:rPr>
        <w:rStyle w:val="ac"/>
        <w:rFonts w:ascii="Arial" w:hAnsi="Arial" w:cs="Arial"/>
        <w:sz w:val="20"/>
        <w:szCs w:val="20"/>
      </w:rPr>
      <w:instrText xml:space="preserve"> PAGE </w:instrText>
    </w:r>
    <w:r w:rsidRPr="004821E4">
      <w:rPr>
        <w:rStyle w:val="ac"/>
        <w:rFonts w:ascii="Arial" w:hAnsi="Arial" w:cs="Arial"/>
        <w:sz w:val="20"/>
        <w:szCs w:val="20"/>
      </w:rPr>
      <w:fldChar w:fldCharType="separate"/>
    </w:r>
    <w:r w:rsidR="008131F5">
      <w:rPr>
        <w:rStyle w:val="ac"/>
        <w:rFonts w:ascii="Arial" w:hAnsi="Arial" w:cs="Arial"/>
        <w:noProof/>
        <w:sz w:val="20"/>
        <w:szCs w:val="20"/>
      </w:rPr>
      <w:t>4</w:t>
    </w:r>
    <w:r w:rsidRPr="004821E4">
      <w:rPr>
        <w:rStyle w:val="ac"/>
        <w:rFonts w:ascii="Arial" w:hAnsi="Arial" w:cs="Arial"/>
        <w:sz w:val="20"/>
        <w:szCs w:val="20"/>
      </w:rPr>
      <w:fldChar w:fldCharType="end"/>
    </w:r>
    <w:r w:rsidRPr="004821E4">
      <w:rPr>
        <w:rStyle w:val="ac"/>
        <w:rFonts w:ascii="Arial" w:hAnsi="Arial" w:cs="Arial"/>
        <w:sz w:val="20"/>
        <w:szCs w:val="20"/>
      </w:rPr>
      <w:t xml:space="preserve"> </w:t>
    </w:r>
    <w:r w:rsidRPr="004821E4">
      <w:rPr>
        <w:rStyle w:val="ac"/>
        <w:sz w:val="20"/>
        <w:szCs w:val="20"/>
      </w:rPr>
      <w:tab/>
    </w:r>
    <w:r>
      <w:rPr>
        <w:rStyle w:val="ac"/>
        <w:sz w:val="20"/>
        <w:szCs w:val="20"/>
        <w:lang w:val="uk-UA"/>
      </w:rPr>
      <w:t xml:space="preserve">                      </w:t>
    </w:r>
    <w:r w:rsidRPr="004821E4">
      <w:rPr>
        <w:rStyle w:val="ac"/>
        <w:sz w:val="20"/>
        <w:szCs w:val="20"/>
        <w:lang w:val="uk-UA"/>
      </w:rPr>
      <w:t xml:space="preserve">   </w:t>
    </w:r>
    <w:proofErr w:type="spellStart"/>
    <w:proofErr w:type="gramStart"/>
    <w:r w:rsidRPr="004821E4">
      <w:rPr>
        <w:rFonts w:ascii="Arial" w:hAnsi="Arial"/>
        <w:sz w:val="20"/>
        <w:szCs w:val="20"/>
      </w:rPr>
      <w:t>Збірник</w:t>
    </w:r>
    <w:proofErr w:type="spellEnd"/>
    <w:r w:rsidRPr="004821E4">
      <w:rPr>
        <w:rFonts w:ascii="Arial" w:hAnsi="Arial"/>
        <w:sz w:val="20"/>
        <w:szCs w:val="20"/>
      </w:rPr>
      <w:t xml:space="preserve">  "</w:t>
    </w:r>
    <w:proofErr w:type="spellStart"/>
    <w:proofErr w:type="gramEnd"/>
    <w:r w:rsidRPr="004821E4">
      <w:rPr>
        <w:rFonts w:ascii="Arial" w:hAnsi="Arial"/>
        <w:sz w:val="20"/>
        <w:szCs w:val="20"/>
      </w:rPr>
      <w:t>Промисловість</w:t>
    </w:r>
    <w:proofErr w:type="spellEnd"/>
    <w:r w:rsidRPr="004821E4">
      <w:rPr>
        <w:rFonts w:ascii="Arial" w:hAnsi="Arial"/>
        <w:sz w:val="20"/>
        <w:szCs w:val="20"/>
      </w:rPr>
      <w:t xml:space="preserve"> України у 2011–2015 роках"</w:t>
    </w:r>
  </w:p>
  <w:p w:rsidR="004821E4" w:rsidRPr="004821E4" w:rsidRDefault="004821E4" w:rsidP="004821E4">
    <w:pPr>
      <w:pStyle w:val="aa"/>
      <w:pBdr>
        <w:top w:val="single" w:sz="6" w:space="6" w:color="auto"/>
      </w:pBdr>
      <w:tabs>
        <w:tab w:val="left" w:pos="2895"/>
        <w:tab w:val="left" w:pos="4515"/>
        <w:tab w:val="right" w:pos="7920"/>
      </w:tabs>
      <w:jc w:val="right"/>
      <w:rPr>
        <w:rFonts w:ascii="Arial" w:hAnsi="Arial"/>
        <w:sz w:val="20"/>
        <w:szCs w:val="20"/>
      </w:rPr>
    </w:pPr>
    <w:proofErr w:type="spellStart"/>
    <w:r w:rsidRPr="004821E4">
      <w:rPr>
        <w:rFonts w:ascii="Arial" w:hAnsi="Arial"/>
        <w:sz w:val="20"/>
        <w:szCs w:val="20"/>
      </w:rPr>
      <w:t>Державна</w:t>
    </w:r>
    <w:proofErr w:type="spellEnd"/>
    <w:r w:rsidRPr="004821E4">
      <w:rPr>
        <w:rFonts w:ascii="Arial" w:hAnsi="Arial"/>
        <w:sz w:val="20"/>
        <w:szCs w:val="20"/>
      </w:rPr>
      <w:t xml:space="preserve"> служба статистики України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1E4" w:rsidRPr="004821E4" w:rsidRDefault="004821E4" w:rsidP="004821E4">
    <w:pPr>
      <w:pStyle w:val="aa"/>
      <w:pBdr>
        <w:top w:val="single" w:sz="6" w:space="6" w:color="auto"/>
      </w:pBdr>
      <w:tabs>
        <w:tab w:val="right" w:pos="7797"/>
      </w:tabs>
      <w:rPr>
        <w:rStyle w:val="ac"/>
        <w:rFonts w:ascii="Arial" w:hAnsi="Arial" w:cs="Arial"/>
        <w:sz w:val="20"/>
        <w:szCs w:val="20"/>
        <w:lang w:val="uk-UA"/>
      </w:rPr>
    </w:pPr>
    <w:proofErr w:type="spellStart"/>
    <w:proofErr w:type="gramStart"/>
    <w:r w:rsidRPr="004821E4">
      <w:rPr>
        <w:rFonts w:ascii="Arial" w:hAnsi="Arial"/>
        <w:sz w:val="20"/>
        <w:szCs w:val="20"/>
      </w:rPr>
      <w:t>Збірник</w:t>
    </w:r>
    <w:proofErr w:type="spellEnd"/>
    <w:r w:rsidRPr="004821E4">
      <w:rPr>
        <w:rFonts w:ascii="Arial" w:hAnsi="Arial"/>
        <w:sz w:val="20"/>
        <w:szCs w:val="20"/>
      </w:rPr>
      <w:t xml:space="preserve">  "</w:t>
    </w:r>
    <w:proofErr w:type="spellStart"/>
    <w:proofErr w:type="gramEnd"/>
    <w:r w:rsidRPr="004821E4">
      <w:rPr>
        <w:rFonts w:ascii="Arial" w:hAnsi="Arial"/>
        <w:sz w:val="20"/>
        <w:szCs w:val="20"/>
      </w:rPr>
      <w:t>Промисловість</w:t>
    </w:r>
    <w:proofErr w:type="spellEnd"/>
    <w:r w:rsidRPr="004821E4">
      <w:rPr>
        <w:rFonts w:ascii="Arial" w:hAnsi="Arial"/>
        <w:sz w:val="20"/>
        <w:szCs w:val="20"/>
      </w:rPr>
      <w:t xml:space="preserve"> України у 2011–2015 роках"</w:t>
    </w:r>
    <w:r w:rsidRPr="004821E4">
      <w:rPr>
        <w:rStyle w:val="ac"/>
        <w:sz w:val="20"/>
        <w:szCs w:val="20"/>
      </w:rPr>
      <w:t xml:space="preserve"> </w:t>
    </w:r>
    <w:r w:rsidRPr="004821E4">
      <w:rPr>
        <w:rStyle w:val="ac"/>
        <w:sz w:val="20"/>
        <w:szCs w:val="20"/>
      </w:rPr>
      <w:tab/>
    </w:r>
    <w:r w:rsidRPr="004821E4">
      <w:rPr>
        <w:rStyle w:val="ac"/>
        <w:sz w:val="20"/>
        <w:szCs w:val="20"/>
      </w:rPr>
      <w:tab/>
    </w:r>
    <w:r w:rsidRPr="004821E4">
      <w:rPr>
        <w:rStyle w:val="ac"/>
        <w:rFonts w:ascii="Arial" w:hAnsi="Arial" w:cs="Arial"/>
        <w:sz w:val="20"/>
        <w:szCs w:val="20"/>
      </w:rPr>
      <w:fldChar w:fldCharType="begin"/>
    </w:r>
    <w:r w:rsidRPr="004821E4">
      <w:rPr>
        <w:rStyle w:val="ac"/>
        <w:rFonts w:ascii="Arial" w:hAnsi="Arial" w:cs="Arial"/>
        <w:sz w:val="20"/>
        <w:szCs w:val="20"/>
      </w:rPr>
      <w:instrText xml:space="preserve"> PAGE </w:instrText>
    </w:r>
    <w:r w:rsidRPr="004821E4">
      <w:rPr>
        <w:rStyle w:val="ac"/>
        <w:rFonts w:ascii="Arial" w:hAnsi="Arial" w:cs="Arial"/>
        <w:sz w:val="20"/>
        <w:szCs w:val="20"/>
      </w:rPr>
      <w:fldChar w:fldCharType="separate"/>
    </w:r>
    <w:r w:rsidR="007C407E">
      <w:rPr>
        <w:rStyle w:val="ac"/>
        <w:rFonts w:ascii="Arial" w:hAnsi="Arial" w:cs="Arial"/>
        <w:noProof/>
        <w:sz w:val="20"/>
        <w:szCs w:val="20"/>
      </w:rPr>
      <w:t>3</w:t>
    </w:r>
    <w:r w:rsidRPr="004821E4">
      <w:rPr>
        <w:rStyle w:val="ac"/>
        <w:rFonts w:ascii="Arial" w:hAnsi="Arial" w:cs="Arial"/>
        <w:sz w:val="20"/>
        <w:szCs w:val="20"/>
      </w:rPr>
      <w:fldChar w:fldCharType="end"/>
    </w:r>
  </w:p>
  <w:p w:rsidR="004821E4" w:rsidRPr="004821E4" w:rsidRDefault="004821E4" w:rsidP="004821E4">
    <w:pPr>
      <w:pStyle w:val="aa"/>
      <w:pBdr>
        <w:top w:val="single" w:sz="6" w:space="6" w:color="auto"/>
      </w:pBdr>
      <w:tabs>
        <w:tab w:val="right" w:pos="7797"/>
      </w:tabs>
      <w:rPr>
        <w:rFonts w:ascii="Arial" w:hAnsi="Arial"/>
        <w:sz w:val="20"/>
        <w:szCs w:val="20"/>
      </w:rPr>
    </w:pPr>
    <w:proofErr w:type="spellStart"/>
    <w:r w:rsidRPr="004821E4">
      <w:rPr>
        <w:rFonts w:ascii="Arial" w:hAnsi="Arial"/>
        <w:sz w:val="20"/>
        <w:szCs w:val="20"/>
      </w:rPr>
      <w:t>Державна</w:t>
    </w:r>
    <w:proofErr w:type="spellEnd"/>
    <w:r w:rsidRPr="004821E4">
      <w:rPr>
        <w:rFonts w:ascii="Arial" w:hAnsi="Arial"/>
        <w:sz w:val="20"/>
        <w:szCs w:val="20"/>
      </w:rPr>
      <w:t xml:space="preserve"> служба статистики України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9AB" w:rsidRDefault="003E39AB" w:rsidP="006F6CF6">
      <w:r>
        <w:separator/>
      </w:r>
    </w:p>
  </w:footnote>
  <w:footnote w:type="continuationSeparator" w:id="0">
    <w:p w:rsidR="003E39AB" w:rsidRDefault="003E39AB" w:rsidP="006F6C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36D"/>
    <w:rsid w:val="0002144E"/>
    <w:rsid w:val="00024048"/>
    <w:rsid w:val="00041647"/>
    <w:rsid w:val="0004268F"/>
    <w:rsid w:val="000638B0"/>
    <w:rsid w:val="0007299C"/>
    <w:rsid w:val="0007692B"/>
    <w:rsid w:val="00091804"/>
    <w:rsid w:val="00093A12"/>
    <w:rsid w:val="000B7E67"/>
    <w:rsid w:val="000C1C76"/>
    <w:rsid w:val="000E1306"/>
    <w:rsid w:val="000E70D0"/>
    <w:rsid w:val="00160ECF"/>
    <w:rsid w:val="00163F63"/>
    <w:rsid w:val="00185757"/>
    <w:rsid w:val="001E143A"/>
    <w:rsid w:val="001E618C"/>
    <w:rsid w:val="001E68F7"/>
    <w:rsid w:val="001F4786"/>
    <w:rsid w:val="001F4D86"/>
    <w:rsid w:val="001F58D2"/>
    <w:rsid w:val="00225F49"/>
    <w:rsid w:val="00245859"/>
    <w:rsid w:val="00256B36"/>
    <w:rsid w:val="00262D8C"/>
    <w:rsid w:val="002670B9"/>
    <w:rsid w:val="002B5A8E"/>
    <w:rsid w:val="002C2301"/>
    <w:rsid w:val="002C6483"/>
    <w:rsid w:val="002D0E70"/>
    <w:rsid w:val="002E0801"/>
    <w:rsid w:val="002E2196"/>
    <w:rsid w:val="002E274C"/>
    <w:rsid w:val="002F7227"/>
    <w:rsid w:val="00304472"/>
    <w:rsid w:val="0032343E"/>
    <w:rsid w:val="003279DC"/>
    <w:rsid w:val="003611E9"/>
    <w:rsid w:val="003671AB"/>
    <w:rsid w:val="003763D5"/>
    <w:rsid w:val="00383CAC"/>
    <w:rsid w:val="00385419"/>
    <w:rsid w:val="00392C5D"/>
    <w:rsid w:val="003B1EE5"/>
    <w:rsid w:val="003D2535"/>
    <w:rsid w:val="003E39AB"/>
    <w:rsid w:val="003F6D48"/>
    <w:rsid w:val="00410920"/>
    <w:rsid w:val="004122AE"/>
    <w:rsid w:val="00450FFC"/>
    <w:rsid w:val="00461045"/>
    <w:rsid w:val="00463EA7"/>
    <w:rsid w:val="0046624E"/>
    <w:rsid w:val="00470E83"/>
    <w:rsid w:val="004739C5"/>
    <w:rsid w:val="0048140F"/>
    <w:rsid w:val="004821E4"/>
    <w:rsid w:val="00485317"/>
    <w:rsid w:val="004A4DE3"/>
    <w:rsid w:val="005018F0"/>
    <w:rsid w:val="00510E00"/>
    <w:rsid w:val="0057166C"/>
    <w:rsid w:val="00583A13"/>
    <w:rsid w:val="00583CEA"/>
    <w:rsid w:val="00587593"/>
    <w:rsid w:val="005B5137"/>
    <w:rsid w:val="005C3BE0"/>
    <w:rsid w:val="005D7652"/>
    <w:rsid w:val="005E4DA6"/>
    <w:rsid w:val="005F4F8A"/>
    <w:rsid w:val="00620BA7"/>
    <w:rsid w:val="00622829"/>
    <w:rsid w:val="0064443D"/>
    <w:rsid w:val="0069644D"/>
    <w:rsid w:val="006B3D7A"/>
    <w:rsid w:val="006C6692"/>
    <w:rsid w:val="006D6ED7"/>
    <w:rsid w:val="006F6CF6"/>
    <w:rsid w:val="007379B8"/>
    <w:rsid w:val="00753734"/>
    <w:rsid w:val="00776324"/>
    <w:rsid w:val="0078582A"/>
    <w:rsid w:val="0079099C"/>
    <w:rsid w:val="00790D74"/>
    <w:rsid w:val="00795BD6"/>
    <w:rsid w:val="007C0400"/>
    <w:rsid w:val="007C407E"/>
    <w:rsid w:val="007C6BC7"/>
    <w:rsid w:val="007C6CD1"/>
    <w:rsid w:val="007E6B3D"/>
    <w:rsid w:val="007F08A1"/>
    <w:rsid w:val="0081136D"/>
    <w:rsid w:val="00812576"/>
    <w:rsid w:val="008131F5"/>
    <w:rsid w:val="00820E7B"/>
    <w:rsid w:val="00824419"/>
    <w:rsid w:val="00845802"/>
    <w:rsid w:val="00890DEA"/>
    <w:rsid w:val="0089654F"/>
    <w:rsid w:val="008B4E6B"/>
    <w:rsid w:val="008C479E"/>
    <w:rsid w:val="008E2BB2"/>
    <w:rsid w:val="008F1224"/>
    <w:rsid w:val="009038DD"/>
    <w:rsid w:val="00914661"/>
    <w:rsid w:val="009626D2"/>
    <w:rsid w:val="00963D45"/>
    <w:rsid w:val="009640BA"/>
    <w:rsid w:val="00965CD7"/>
    <w:rsid w:val="00975413"/>
    <w:rsid w:val="009848A0"/>
    <w:rsid w:val="009D514E"/>
    <w:rsid w:val="009F092F"/>
    <w:rsid w:val="00A056D5"/>
    <w:rsid w:val="00A466EE"/>
    <w:rsid w:val="00A56F93"/>
    <w:rsid w:val="00A7019B"/>
    <w:rsid w:val="00B17416"/>
    <w:rsid w:val="00B20C78"/>
    <w:rsid w:val="00B234A0"/>
    <w:rsid w:val="00B30F0D"/>
    <w:rsid w:val="00B423C5"/>
    <w:rsid w:val="00B51430"/>
    <w:rsid w:val="00B568FF"/>
    <w:rsid w:val="00B6499F"/>
    <w:rsid w:val="00B72AFB"/>
    <w:rsid w:val="00B91967"/>
    <w:rsid w:val="00BB6922"/>
    <w:rsid w:val="00BE067D"/>
    <w:rsid w:val="00BE3AB9"/>
    <w:rsid w:val="00BF386A"/>
    <w:rsid w:val="00C1464F"/>
    <w:rsid w:val="00C27EB2"/>
    <w:rsid w:val="00C51367"/>
    <w:rsid w:val="00C563CD"/>
    <w:rsid w:val="00C664CB"/>
    <w:rsid w:val="00C71CE5"/>
    <w:rsid w:val="00CA3167"/>
    <w:rsid w:val="00CB044A"/>
    <w:rsid w:val="00CC07F9"/>
    <w:rsid w:val="00CC1D9F"/>
    <w:rsid w:val="00CD473E"/>
    <w:rsid w:val="00D05D50"/>
    <w:rsid w:val="00D11ADE"/>
    <w:rsid w:val="00D6444C"/>
    <w:rsid w:val="00D82B41"/>
    <w:rsid w:val="00D92943"/>
    <w:rsid w:val="00D930E0"/>
    <w:rsid w:val="00DC1BFA"/>
    <w:rsid w:val="00DC7E4C"/>
    <w:rsid w:val="00E07497"/>
    <w:rsid w:val="00E21AEB"/>
    <w:rsid w:val="00E37865"/>
    <w:rsid w:val="00E608AF"/>
    <w:rsid w:val="00E67A74"/>
    <w:rsid w:val="00E73E74"/>
    <w:rsid w:val="00EA0569"/>
    <w:rsid w:val="00EA2624"/>
    <w:rsid w:val="00EB159A"/>
    <w:rsid w:val="00EC0710"/>
    <w:rsid w:val="00EC0B10"/>
    <w:rsid w:val="00ED78E8"/>
    <w:rsid w:val="00EE5D9C"/>
    <w:rsid w:val="00F23425"/>
    <w:rsid w:val="00F32156"/>
    <w:rsid w:val="00F430D4"/>
    <w:rsid w:val="00F50F31"/>
    <w:rsid w:val="00F95121"/>
    <w:rsid w:val="00F96ECD"/>
    <w:rsid w:val="00FA66AA"/>
    <w:rsid w:val="00FE3B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818B62-C96E-4689-9779-8FB6326DF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rsid w:val="009640B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semiHidden/>
    <w:unhideWhenUsed/>
    <w:qFormat/>
    <w:rsid w:val="00D11AD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7">
    <w:name w:val="heading 7"/>
    <w:basedOn w:val="a"/>
    <w:next w:val="a"/>
    <w:qFormat/>
    <w:rsid w:val="0048140F"/>
    <w:pPr>
      <w:keepNext/>
      <w:ind w:right="50"/>
      <w:jc w:val="center"/>
      <w:outlineLvl w:val="6"/>
    </w:pPr>
    <w:rPr>
      <w:rFonts w:ascii="Arial" w:hAnsi="Arial"/>
      <w:b/>
      <w:sz w:val="4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56B36"/>
    <w:rPr>
      <w:color w:val="0000FF"/>
      <w:u w:val="single"/>
    </w:rPr>
  </w:style>
  <w:style w:type="character" w:customStyle="1" w:styleId="shorttext">
    <w:name w:val="short_text"/>
    <w:basedOn w:val="a0"/>
    <w:rsid w:val="00ED78E8"/>
  </w:style>
  <w:style w:type="character" w:customStyle="1" w:styleId="hps">
    <w:name w:val="hps"/>
    <w:basedOn w:val="a0"/>
    <w:rsid w:val="00ED78E8"/>
  </w:style>
  <w:style w:type="table" w:styleId="a4">
    <w:name w:val="Table Grid"/>
    <w:basedOn w:val="a1"/>
    <w:rsid w:val="006228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FollowedHyperlink"/>
    <w:rsid w:val="00CB044A"/>
    <w:rPr>
      <w:color w:val="954F72"/>
      <w:u w:val="single"/>
    </w:rPr>
  </w:style>
  <w:style w:type="paragraph" w:styleId="HTML">
    <w:name w:val="HTML Preformatted"/>
    <w:basedOn w:val="a"/>
    <w:link w:val="HTML0"/>
    <w:uiPriority w:val="99"/>
    <w:unhideWhenUsed/>
    <w:rsid w:val="00E07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link w:val="HTML"/>
    <w:uiPriority w:val="99"/>
    <w:rsid w:val="00E07497"/>
    <w:rPr>
      <w:rFonts w:ascii="Courier New" w:hAnsi="Courier New" w:cs="Courier New"/>
    </w:rPr>
  </w:style>
  <w:style w:type="paragraph" w:styleId="a6">
    <w:name w:val="Balloon Text"/>
    <w:basedOn w:val="a"/>
    <w:link w:val="a7"/>
    <w:rsid w:val="003611E9"/>
    <w:rPr>
      <w:rFonts w:ascii="Segoe UI" w:hAnsi="Segoe UI" w:cs="Segoe UI"/>
      <w:sz w:val="18"/>
      <w:szCs w:val="18"/>
    </w:rPr>
  </w:style>
  <w:style w:type="character" w:customStyle="1" w:styleId="a7">
    <w:name w:val="Текст выноски Знак"/>
    <w:basedOn w:val="a0"/>
    <w:link w:val="a6"/>
    <w:rsid w:val="003611E9"/>
    <w:rPr>
      <w:rFonts w:ascii="Segoe UI" w:hAnsi="Segoe UI" w:cs="Segoe UI"/>
      <w:sz w:val="18"/>
      <w:szCs w:val="18"/>
      <w:lang w:val="ru-RU" w:eastAsia="ru-RU"/>
    </w:rPr>
  </w:style>
  <w:style w:type="paragraph" w:styleId="a8">
    <w:name w:val="header"/>
    <w:basedOn w:val="a"/>
    <w:link w:val="a9"/>
    <w:rsid w:val="006F6CF6"/>
    <w:pPr>
      <w:tabs>
        <w:tab w:val="center" w:pos="4677"/>
        <w:tab w:val="right" w:pos="9355"/>
      </w:tabs>
    </w:pPr>
  </w:style>
  <w:style w:type="character" w:customStyle="1" w:styleId="a9">
    <w:name w:val="Верхний колонтитул Знак"/>
    <w:basedOn w:val="a0"/>
    <w:link w:val="a8"/>
    <w:rsid w:val="006F6CF6"/>
    <w:rPr>
      <w:sz w:val="24"/>
      <w:szCs w:val="24"/>
      <w:lang w:val="ru-RU" w:eastAsia="ru-RU"/>
    </w:rPr>
  </w:style>
  <w:style w:type="paragraph" w:styleId="aa">
    <w:name w:val="footer"/>
    <w:basedOn w:val="a"/>
    <w:link w:val="ab"/>
    <w:uiPriority w:val="99"/>
    <w:rsid w:val="006F6CF6"/>
    <w:pPr>
      <w:tabs>
        <w:tab w:val="center" w:pos="4677"/>
        <w:tab w:val="right" w:pos="9355"/>
      </w:tabs>
    </w:pPr>
  </w:style>
  <w:style w:type="character" w:customStyle="1" w:styleId="ab">
    <w:name w:val="Нижний колонтитул Знак"/>
    <w:basedOn w:val="a0"/>
    <w:link w:val="aa"/>
    <w:uiPriority w:val="99"/>
    <w:rsid w:val="006F6CF6"/>
    <w:rPr>
      <w:sz w:val="24"/>
      <w:szCs w:val="24"/>
      <w:lang w:val="ru-RU" w:eastAsia="ru-RU"/>
    </w:rPr>
  </w:style>
  <w:style w:type="character" w:customStyle="1" w:styleId="10">
    <w:name w:val="Заголовок 1 Знак"/>
    <w:basedOn w:val="a0"/>
    <w:link w:val="1"/>
    <w:rsid w:val="009640BA"/>
    <w:rPr>
      <w:rFonts w:asciiTheme="majorHAnsi" w:eastAsiaTheme="majorEastAsia" w:hAnsiTheme="majorHAnsi" w:cstheme="majorBidi"/>
      <w:color w:val="2E74B5" w:themeColor="accent1" w:themeShade="BF"/>
      <w:sz w:val="32"/>
      <w:szCs w:val="32"/>
      <w:lang w:val="ru-RU" w:eastAsia="ru-RU"/>
    </w:rPr>
  </w:style>
  <w:style w:type="paragraph" w:customStyle="1" w:styleId="11">
    <w:name w:val="Обычный1"/>
    <w:basedOn w:val="a"/>
    <w:rsid w:val="009640BA"/>
    <w:rPr>
      <w:sz w:val="18"/>
      <w:szCs w:val="20"/>
      <w:lang w:val="uk-UA"/>
    </w:rPr>
  </w:style>
  <w:style w:type="character" w:customStyle="1" w:styleId="20">
    <w:name w:val="Заголовок 2 Знак"/>
    <w:basedOn w:val="a0"/>
    <w:link w:val="2"/>
    <w:semiHidden/>
    <w:rsid w:val="00D11ADE"/>
    <w:rPr>
      <w:rFonts w:asciiTheme="majorHAnsi" w:eastAsiaTheme="majorEastAsia" w:hAnsiTheme="majorHAnsi" w:cstheme="majorBidi"/>
      <w:color w:val="2E74B5" w:themeColor="accent1" w:themeShade="BF"/>
      <w:sz w:val="26"/>
      <w:szCs w:val="26"/>
      <w:lang w:val="ru-RU" w:eastAsia="ru-RU"/>
    </w:rPr>
  </w:style>
  <w:style w:type="character" w:styleId="ac">
    <w:name w:val="page number"/>
    <w:basedOn w:val="a0"/>
    <w:rsid w:val="00482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924928">
      <w:bodyDiv w:val="1"/>
      <w:marLeft w:val="0"/>
      <w:marRight w:val="0"/>
      <w:marTop w:val="0"/>
      <w:marBottom w:val="0"/>
      <w:divBdr>
        <w:top w:val="none" w:sz="0" w:space="0" w:color="auto"/>
        <w:left w:val="none" w:sz="0" w:space="0" w:color="auto"/>
        <w:bottom w:val="none" w:sz="0" w:space="0" w:color="auto"/>
        <w:right w:val="none" w:sz="0" w:space="0" w:color="auto"/>
      </w:divBdr>
    </w:div>
    <w:div w:id="1654941493">
      <w:bodyDiv w:val="1"/>
      <w:marLeft w:val="0"/>
      <w:marRight w:val="0"/>
      <w:marTop w:val="0"/>
      <w:marBottom w:val="0"/>
      <w:divBdr>
        <w:top w:val="none" w:sz="0" w:space="0" w:color="auto"/>
        <w:left w:val="none" w:sz="0" w:space="0" w:color="auto"/>
        <w:bottom w:val="none" w:sz="0" w:space="0" w:color="auto"/>
        <w:right w:val="none" w:sz="0" w:space="0" w:color="auto"/>
      </w:divBdr>
      <w:divsChild>
        <w:div w:id="377053976">
          <w:marLeft w:val="0"/>
          <w:marRight w:val="0"/>
          <w:marTop w:val="0"/>
          <w:marBottom w:val="0"/>
          <w:divBdr>
            <w:top w:val="none" w:sz="0" w:space="0" w:color="auto"/>
            <w:left w:val="none" w:sz="0" w:space="0" w:color="auto"/>
            <w:bottom w:val="none" w:sz="0" w:space="0" w:color="auto"/>
            <w:right w:val="none" w:sz="0" w:space="0" w:color="auto"/>
          </w:divBdr>
          <w:divsChild>
            <w:div w:id="1353142348">
              <w:marLeft w:val="0"/>
              <w:marRight w:val="0"/>
              <w:marTop w:val="0"/>
              <w:marBottom w:val="0"/>
              <w:divBdr>
                <w:top w:val="none" w:sz="0" w:space="0" w:color="auto"/>
                <w:left w:val="none" w:sz="0" w:space="0" w:color="auto"/>
                <w:bottom w:val="none" w:sz="0" w:space="0" w:color="auto"/>
                <w:right w:val="none" w:sz="0" w:space="0" w:color="auto"/>
              </w:divBdr>
              <w:divsChild>
                <w:div w:id="374277379">
                  <w:marLeft w:val="0"/>
                  <w:marRight w:val="0"/>
                  <w:marTop w:val="0"/>
                  <w:marBottom w:val="0"/>
                  <w:divBdr>
                    <w:top w:val="none" w:sz="0" w:space="0" w:color="auto"/>
                    <w:left w:val="none" w:sz="0" w:space="0" w:color="auto"/>
                    <w:bottom w:val="none" w:sz="0" w:space="0" w:color="auto"/>
                    <w:right w:val="none" w:sz="0" w:space="0" w:color="auto"/>
                  </w:divBdr>
                  <w:divsChild>
                    <w:div w:id="20232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56886">
          <w:marLeft w:val="0"/>
          <w:marRight w:val="0"/>
          <w:marTop w:val="0"/>
          <w:marBottom w:val="0"/>
          <w:divBdr>
            <w:top w:val="none" w:sz="0" w:space="0" w:color="auto"/>
            <w:left w:val="none" w:sz="0" w:space="0" w:color="auto"/>
            <w:bottom w:val="none" w:sz="0" w:space="0" w:color="auto"/>
            <w:right w:val="none" w:sz="0" w:space="0" w:color="auto"/>
          </w:divBdr>
          <w:divsChild>
            <w:div w:id="618144538">
              <w:marLeft w:val="0"/>
              <w:marRight w:val="0"/>
              <w:marTop w:val="0"/>
              <w:marBottom w:val="0"/>
              <w:divBdr>
                <w:top w:val="none" w:sz="0" w:space="0" w:color="auto"/>
                <w:left w:val="none" w:sz="0" w:space="0" w:color="auto"/>
                <w:bottom w:val="none" w:sz="0" w:space="0" w:color="auto"/>
                <w:right w:val="none" w:sz="0" w:space="0" w:color="auto"/>
              </w:divBdr>
              <w:divsChild>
                <w:div w:id="558982912">
                  <w:marLeft w:val="0"/>
                  <w:marRight w:val="0"/>
                  <w:marTop w:val="0"/>
                  <w:marBottom w:val="0"/>
                  <w:divBdr>
                    <w:top w:val="none" w:sz="0" w:space="0" w:color="auto"/>
                    <w:left w:val="none" w:sz="0" w:space="0" w:color="auto"/>
                    <w:bottom w:val="none" w:sz="0" w:space="0" w:color="auto"/>
                    <w:right w:val="none" w:sz="0" w:space="0" w:color="auto"/>
                  </w:divBdr>
                  <w:divsChild>
                    <w:div w:id="230115901">
                      <w:marLeft w:val="0"/>
                      <w:marRight w:val="0"/>
                      <w:marTop w:val="0"/>
                      <w:marBottom w:val="0"/>
                      <w:divBdr>
                        <w:top w:val="none" w:sz="0" w:space="0" w:color="auto"/>
                        <w:left w:val="none" w:sz="0" w:space="0" w:color="auto"/>
                        <w:bottom w:val="none" w:sz="0" w:space="0" w:color="auto"/>
                        <w:right w:val="none" w:sz="0" w:space="0" w:color="auto"/>
                      </w:divBdr>
                      <w:divsChild>
                        <w:div w:id="1868062667">
                          <w:marLeft w:val="0"/>
                          <w:marRight w:val="0"/>
                          <w:marTop w:val="0"/>
                          <w:marBottom w:val="0"/>
                          <w:divBdr>
                            <w:top w:val="none" w:sz="0" w:space="0" w:color="auto"/>
                            <w:left w:val="none" w:sz="0" w:space="0" w:color="auto"/>
                            <w:bottom w:val="none" w:sz="0" w:space="0" w:color="auto"/>
                            <w:right w:val="none" w:sz="0" w:space="0" w:color="auto"/>
                          </w:divBdr>
                          <w:divsChild>
                            <w:div w:id="60091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4187</Words>
  <Characters>2387</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Державний комітет статистики України</vt:lpstr>
    </vt:vector>
  </TitlesOfParts>
  <Company/>
  <LinksUpToDate>false</LinksUpToDate>
  <CharactersWithSpaces>6561</CharactersWithSpaces>
  <SharedDoc>false</SharedDoc>
  <HLinks>
    <vt:vector size="24" baseType="variant">
      <vt:variant>
        <vt:i4>721008</vt:i4>
      </vt:variant>
      <vt:variant>
        <vt:i4>9</vt:i4>
      </vt:variant>
      <vt:variant>
        <vt:i4>0</vt:i4>
      </vt:variant>
      <vt:variant>
        <vt:i4>5</vt:i4>
      </vt:variant>
      <vt:variant>
        <vt:lpwstr>mailto:promysl@ukrstat.gov.ua</vt:lpwstr>
      </vt:variant>
      <vt:variant>
        <vt:lpwstr/>
      </vt:variant>
      <vt:variant>
        <vt:i4>5832767</vt:i4>
      </vt:variant>
      <vt:variant>
        <vt:i4>6</vt:i4>
      </vt:variant>
      <vt:variant>
        <vt:i4>0</vt:i4>
      </vt:variant>
      <vt:variant>
        <vt:i4>5</vt:i4>
      </vt:variant>
      <vt:variant>
        <vt:lpwstr>mailto:industry@ukrstat.gov.ua</vt:lpwstr>
      </vt:variant>
      <vt:variant>
        <vt:lpwstr/>
      </vt:variant>
      <vt:variant>
        <vt:i4>721008</vt:i4>
      </vt:variant>
      <vt:variant>
        <vt:i4>3</vt:i4>
      </vt:variant>
      <vt:variant>
        <vt:i4>0</vt:i4>
      </vt:variant>
      <vt:variant>
        <vt:i4>5</vt:i4>
      </vt:variant>
      <vt:variant>
        <vt:lpwstr>mailto:promysl@ukrstat.gov.ua</vt:lpwstr>
      </vt:variant>
      <vt:variant>
        <vt:lpwstr/>
      </vt:variant>
      <vt:variant>
        <vt:i4>5832767</vt:i4>
      </vt:variant>
      <vt:variant>
        <vt:i4>0</vt:i4>
      </vt:variant>
      <vt:variant>
        <vt:i4>0</vt:i4>
      </vt:variant>
      <vt:variant>
        <vt:i4>5</vt:i4>
      </vt:variant>
      <vt:variant>
        <vt:lpwstr>mailto:industry@ukrstat.gov.ua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subject/>
  <dc:creator>User</dc:creator>
  <cp:keywords/>
  <dc:description/>
  <cp:lastModifiedBy>I.Fomenko</cp:lastModifiedBy>
  <cp:revision>4</cp:revision>
  <cp:lastPrinted>2016-11-09T15:46:00Z</cp:lastPrinted>
  <dcterms:created xsi:type="dcterms:W3CDTF">2016-12-08T12:56:00Z</dcterms:created>
  <dcterms:modified xsi:type="dcterms:W3CDTF">2016-12-09T09:08:00Z</dcterms:modified>
</cp:coreProperties>
</file>