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B87" w:rsidRDefault="001F2B87" w:rsidP="001F2B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</w:rPr>
      </w:pPr>
    </w:p>
    <w:p w:rsidR="001F2B87" w:rsidRPr="00DF2C60" w:rsidRDefault="009F50A1" w:rsidP="009F50A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left="567" w:hanging="567"/>
        <w:rPr>
          <w:rFonts w:ascii="Arial" w:hAnsi="Arial" w:cs="Arial"/>
          <w:b/>
          <w:caps/>
          <w:sz w:val="22"/>
          <w:szCs w:val="22"/>
          <w:lang w:val="en-US"/>
        </w:rPr>
      </w:pPr>
      <w:r w:rsidRPr="00DF2C60">
        <w:rPr>
          <w:rFonts w:ascii="Arial" w:hAnsi="Arial" w:cs="Arial"/>
          <w:b/>
          <w:sz w:val="22"/>
          <w:szCs w:val="22"/>
          <w:lang w:val="uk-UA"/>
        </w:rPr>
        <w:t xml:space="preserve">     </w:t>
      </w:r>
      <w:r w:rsidR="00A5119F" w:rsidRPr="00DF2C60">
        <w:rPr>
          <w:rFonts w:ascii="Arial" w:hAnsi="Arial" w:cs="Arial"/>
          <w:b/>
          <w:sz w:val="22"/>
          <w:szCs w:val="22"/>
          <w:lang w:val="uk-UA"/>
        </w:rPr>
        <w:t>20</w:t>
      </w:r>
      <w:r w:rsidR="001F2B87" w:rsidRPr="00DF2C60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A5119F" w:rsidRPr="00DF2C60">
        <w:rPr>
          <w:rFonts w:ascii="Arial" w:hAnsi="Arial" w:cs="Arial"/>
          <w:b/>
          <w:caps/>
          <w:sz w:val="22"/>
          <w:szCs w:val="22"/>
        </w:rPr>
        <w:t>Водопостачання</w:t>
      </w:r>
      <w:r w:rsidR="00A5119F" w:rsidRPr="00DF2C60">
        <w:rPr>
          <w:rFonts w:ascii="Arial" w:hAnsi="Arial" w:cs="Arial"/>
          <w:b/>
          <w:caps/>
          <w:sz w:val="22"/>
          <w:szCs w:val="22"/>
          <w:lang w:val="en-US"/>
        </w:rPr>
        <w:t xml:space="preserve">; </w:t>
      </w:r>
      <w:r w:rsidR="00A5119F" w:rsidRPr="00DF2C60">
        <w:rPr>
          <w:rFonts w:ascii="Arial" w:hAnsi="Arial" w:cs="Arial"/>
          <w:b/>
          <w:caps/>
          <w:sz w:val="22"/>
          <w:szCs w:val="22"/>
        </w:rPr>
        <w:t>каналізація</w:t>
      </w:r>
      <w:r w:rsidR="00A5119F" w:rsidRPr="00DF2C60">
        <w:rPr>
          <w:rFonts w:ascii="Arial" w:hAnsi="Arial" w:cs="Arial"/>
          <w:b/>
          <w:caps/>
          <w:sz w:val="22"/>
          <w:szCs w:val="22"/>
          <w:lang w:val="en-US"/>
        </w:rPr>
        <w:t xml:space="preserve">, </w:t>
      </w:r>
      <w:r w:rsidR="00A5119F" w:rsidRPr="00DF2C60">
        <w:rPr>
          <w:rFonts w:ascii="Arial" w:hAnsi="Arial" w:cs="Arial"/>
          <w:b/>
          <w:caps/>
          <w:sz w:val="22"/>
          <w:szCs w:val="22"/>
        </w:rPr>
        <w:t>поводження</w:t>
      </w:r>
      <w:r w:rsidR="00A5119F" w:rsidRPr="00DF2C60">
        <w:rPr>
          <w:rFonts w:ascii="Arial" w:hAnsi="Arial" w:cs="Arial"/>
          <w:b/>
          <w:caps/>
          <w:sz w:val="22"/>
          <w:szCs w:val="22"/>
          <w:lang w:val="en-US"/>
        </w:rPr>
        <w:t xml:space="preserve"> </w:t>
      </w:r>
      <w:r w:rsidR="00A5119F" w:rsidRPr="00DF2C60">
        <w:rPr>
          <w:rFonts w:ascii="Arial" w:hAnsi="Arial" w:cs="Arial"/>
          <w:b/>
          <w:caps/>
          <w:sz w:val="22"/>
          <w:szCs w:val="22"/>
        </w:rPr>
        <w:t>з</w:t>
      </w:r>
      <w:r w:rsidR="00A5119F" w:rsidRPr="00DF2C60">
        <w:rPr>
          <w:rFonts w:ascii="Arial" w:hAnsi="Arial" w:cs="Arial"/>
          <w:b/>
          <w:caps/>
          <w:sz w:val="22"/>
          <w:szCs w:val="22"/>
          <w:lang w:val="en-US"/>
        </w:rPr>
        <w:t xml:space="preserve"> </w:t>
      </w:r>
      <w:r w:rsidR="00A5119F" w:rsidRPr="00DF2C60">
        <w:rPr>
          <w:rFonts w:ascii="Arial" w:hAnsi="Arial" w:cs="Arial"/>
          <w:b/>
          <w:caps/>
          <w:sz w:val="22"/>
          <w:szCs w:val="22"/>
        </w:rPr>
        <w:t>відходами</w:t>
      </w:r>
    </w:p>
    <w:p w:rsidR="001F2B87" w:rsidRPr="00DF2C60" w:rsidRDefault="001F2B87" w:rsidP="009F50A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left="709" w:hanging="709"/>
        <w:rPr>
          <w:rFonts w:ascii="Arial" w:hAnsi="Arial" w:cs="Arial"/>
          <w:bCs/>
          <w:i/>
          <w:caps/>
          <w:lang w:val="en-US"/>
        </w:rPr>
      </w:pPr>
      <w:r w:rsidRPr="00A5119F">
        <w:rPr>
          <w:rFonts w:ascii="Arial" w:hAnsi="Arial" w:cs="Arial"/>
          <w:i/>
          <w:sz w:val="22"/>
          <w:szCs w:val="22"/>
          <w:lang w:val="en-US"/>
        </w:rPr>
        <w:t xml:space="preserve">  </w:t>
      </w:r>
      <w:r w:rsidR="001B267B">
        <w:rPr>
          <w:rFonts w:ascii="Arial" w:hAnsi="Arial" w:cs="Arial"/>
          <w:i/>
          <w:sz w:val="22"/>
          <w:szCs w:val="22"/>
          <w:lang w:val="uk-UA"/>
        </w:rPr>
        <w:t xml:space="preserve">        </w:t>
      </w:r>
      <w:r w:rsidRPr="00A5119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="00A5119F" w:rsidRPr="00DF2C60">
        <w:rPr>
          <w:rFonts w:ascii="Arial" w:hAnsi="Arial" w:cs="Arial"/>
          <w:bCs/>
          <w:i/>
          <w:caps/>
          <w:lang w:val="en-US"/>
        </w:rPr>
        <w:t xml:space="preserve">Water supply; sewerage, waste management and </w:t>
      </w:r>
      <w:proofErr w:type="gramStart"/>
      <w:r w:rsidR="00A5119F" w:rsidRPr="00DF2C60">
        <w:rPr>
          <w:rFonts w:ascii="Arial" w:hAnsi="Arial" w:cs="Arial"/>
          <w:bCs/>
          <w:i/>
          <w:caps/>
          <w:lang w:val="en-US"/>
        </w:rPr>
        <w:t xml:space="preserve">remediation </w:t>
      </w:r>
      <w:r w:rsidR="009F50A1" w:rsidRPr="00DF2C60">
        <w:rPr>
          <w:rFonts w:ascii="Arial" w:hAnsi="Arial" w:cs="Arial"/>
          <w:bCs/>
          <w:i/>
          <w:caps/>
          <w:lang w:val="uk-UA"/>
        </w:rPr>
        <w:t xml:space="preserve"> </w:t>
      </w:r>
      <w:r w:rsidR="00A5119F" w:rsidRPr="00DF2C60">
        <w:rPr>
          <w:rFonts w:ascii="Arial" w:hAnsi="Arial" w:cs="Arial"/>
          <w:bCs/>
          <w:i/>
          <w:caps/>
          <w:lang w:val="en-US"/>
        </w:rPr>
        <w:t>activities</w:t>
      </w:r>
      <w:proofErr w:type="gramEnd"/>
    </w:p>
    <w:p w:rsidR="001F2B87" w:rsidRPr="001F2B87" w:rsidRDefault="001F2B87" w:rsidP="001F2B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i/>
          <w:sz w:val="22"/>
          <w:szCs w:val="22"/>
          <w:lang w:val="en-US"/>
        </w:rPr>
      </w:pPr>
    </w:p>
    <w:p w:rsidR="001F2B87" w:rsidRPr="00E51DE1" w:rsidRDefault="001F2B87" w:rsidP="001F2B87">
      <w:pPr>
        <w:pStyle w:val="a9"/>
        <w:jc w:val="left"/>
        <w:rPr>
          <w:rFonts w:ascii="Arial" w:hAnsi="Arial" w:cs="Arial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1F2B87" w:rsidRPr="00A5119F" w:rsidTr="00A42563">
        <w:tc>
          <w:tcPr>
            <w:tcW w:w="344" w:type="pct"/>
          </w:tcPr>
          <w:p w:rsidR="001F2B87" w:rsidRDefault="00A5119F" w:rsidP="00A42563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1F2B87"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1F2B87" w:rsidRDefault="001F2B87" w:rsidP="00771757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з </w:t>
            </w:r>
            <w:r w:rsidR="00A5119F">
              <w:rPr>
                <w:rFonts w:ascii="Arial" w:hAnsi="Arial" w:cs="Arial"/>
                <w:sz w:val="24"/>
                <w:szCs w:val="24"/>
              </w:rPr>
              <w:t>в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>одопостачання; каналізаці</w:t>
            </w:r>
            <w:r w:rsidR="00771757">
              <w:rPr>
                <w:rFonts w:ascii="Arial" w:hAnsi="Arial" w:cs="Arial"/>
                <w:sz w:val="24"/>
                <w:szCs w:val="24"/>
              </w:rPr>
              <w:t>ї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>, поводження з відхода</w:t>
            </w:r>
            <w:r w:rsidR="00A5119F">
              <w:rPr>
                <w:rFonts w:ascii="Arial" w:hAnsi="Arial" w:cs="Arial"/>
                <w:sz w:val="24"/>
                <w:szCs w:val="24"/>
              </w:rPr>
              <w:t>ми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у 20</w:t>
            </w:r>
            <w:r w:rsidRPr="00A5119F">
              <w:rPr>
                <w:rFonts w:ascii="Arial" w:hAnsi="Arial" w:cs="Arial"/>
                <w:sz w:val="24"/>
                <w:szCs w:val="24"/>
              </w:rPr>
              <w:t>1</w:t>
            </w:r>
            <w:r w:rsidR="00725767">
              <w:rPr>
                <w:rFonts w:ascii="Arial" w:hAnsi="Arial" w:cs="Arial"/>
                <w:sz w:val="24"/>
                <w:szCs w:val="24"/>
              </w:rPr>
              <w:t>3 та 201</w:t>
            </w:r>
            <w:r w:rsidRPr="00A5119F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A5119F">
              <w:rPr>
                <w:rFonts w:ascii="Arial" w:hAnsi="Arial" w:cs="Arial"/>
                <w:sz w:val="24"/>
                <w:szCs w:val="24"/>
              </w:rPr>
              <w:t>о</w:t>
            </w:r>
            <w:r w:rsidR="00725767">
              <w:rPr>
                <w:rFonts w:ascii="Arial" w:hAnsi="Arial" w:cs="Arial"/>
                <w:sz w:val="24"/>
                <w:szCs w:val="24"/>
              </w:rPr>
              <w:t>ках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1F2B87" w:rsidRPr="00A34647" w:rsidTr="00A42563">
        <w:tc>
          <w:tcPr>
            <w:tcW w:w="344" w:type="pct"/>
          </w:tcPr>
          <w:p w:rsidR="001F2B87" w:rsidRPr="00C77B4F" w:rsidRDefault="001F2B87" w:rsidP="00A42563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1F2B87" w:rsidRPr="00A5119F" w:rsidRDefault="001F2B87" w:rsidP="00A5119F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5119F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ater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supply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sewerage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waste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management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remediation</w:t>
            </w:r>
            <w:proofErr w:type="spellEnd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A5119F">
              <w:rPr>
                <w:rFonts w:ascii="Arial" w:hAnsi="Arial" w:cs="Arial"/>
                <w:b w:val="0"/>
                <w:i/>
                <w:sz w:val="22"/>
                <w:szCs w:val="22"/>
              </w:rPr>
              <w:t>activities</w:t>
            </w:r>
            <w:proofErr w:type="spellEnd"/>
            <w:r w:rsidR="00A5119F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2576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72576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7257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72576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1F2B87" w:rsidRDefault="001F2B87" w:rsidP="001F2B87">
      <w:pPr>
        <w:pStyle w:val="a9"/>
        <w:jc w:val="left"/>
        <w:rPr>
          <w:sz w:val="22"/>
          <w:szCs w:val="22"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5244"/>
        <w:gridCol w:w="1912"/>
        <w:gridCol w:w="1912"/>
      </w:tblGrid>
      <w:tr w:rsidR="00666EC0" w:rsidRPr="009F17CD" w:rsidTr="00D3353C">
        <w:tc>
          <w:tcPr>
            <w:tcW w:w="28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EC0" w:rsidRPr="00403B50" w:rsidRDefault="00666EC0" w:rsidP="00C113D2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C0" w:rsidRPr="00403B50" w:rsidRDefault="00666EC0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2013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EC0" w:rsidRPr="00403B50" w:rsidRDefault="00666EC0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2015</w:t>
            </w:r>
          </w:p>
        </w:tc>
      </w:tr>
      <w:tr w:rsidR="00666EC0" w:rsidRPr="009F17CD" w:rsidTr="00D3353C">
        <w:tc>
          <w:tcPr>
            <w:tcW w:w="2892" w:type="pct"/>
            <w:tcBorders>
              <w:top w:val="single" w:sz="4" w:space="0" w:color="auto"/>
            </w:tcBorders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Кількість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підприємств</w:t>
            </w:r>
            <w:proofErr w:type="spellEnd"/>
          </w:p>
        </w:tc>
        <w:tc>
          <w:tcPr>
            <w:tcW w:w="10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6EC0" w:rsidRPr="00403B50" w:rsidRDefault="009E40F9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3B50">
              <w:rPr>
                <w:rFonts w:ascii="Arial" w:hAnsi="Arial" w:cs="Arial"/>
                <w:bCs/>
                <w:sz w:val="22"/>
                <w:szCs w:val="22"/>
                <w:lang w:val="uk-UA"/>
              </w:rPr>
              <w:t>4090</w:t>
            </w:r>
          </w:p>
        </w:tc>
        <w:tc>
          <w:tcPr>
            <w:tcW w:w="10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6EC0" w:rsidRPr="00DF2C60" w:rsidRDefault="00DF2C6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F2C60">
              <w:rPr>
                <w:rFonts w:ascii="Arial" w:hAnsi="Arial" w:cs="Arial"/>
                <w:snapToGrid w:val="0"/>
                <w:sz w:val="22"/>
                <w:szCs w:val="22"/>
              </w:rPr>
              <w:t>3457</w:t>
            </w:r>
          </w:p>
        </w:tc>
      </w:tr>
      <w:tr w:rsidR="00666EC0" w:rsidRPr="008C2D6D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Обсяг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реалізованої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промислової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666EC0" w:rsidRPr="00012920" w:rsidTr="00D3353C">
        <w:tc>
          <w:tcPr>
            <w:tcW w:w="2892" w:type="pct"/>
            <w:vAlign w:val="bottom"/>
          </w:tcPr>
          <w:p w:rsidR="00666EC0" w:rsidRPr="00403B50" w:rsidRDefault="00666EC0" w:rsidP="00C113D2">
            <w:pPr>
              <w:widowControl w:val="0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20589,7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6F3E02" w:rsidRDefault="006F3E02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21086,0</w:t>
            </w:r>
          </w:p>
        </w:tc>
      </w:tr>
      <w:tr w:rsidR="00666EC0" w:rsidRPr="00F863EA" w:rsidTr="00D3353C">
        <w:tc>
          <w:tcPr>
            <w:tcW w:w="2892" w:type="pct"/>
            <w:vAlign w:val="bottom"/>
          </w:tcPr>
          <w:p w:rsidR="00666EC0" w:rsidRPr="00403B50" w:rsidRDefault="00666EC0" w:rsidP="00D3353C">
            <w:pPr>
              <w:widowControl w:val="0"/>
              <w:ind w:left="176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загального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обсягу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6F3E02" w:rsidRDefault="006F3E02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1,2</w:t>
            </w:r>
          </w:p>
        </w:tc>
      </w:tr>
      <w:tr w:rsidR="00666EC0" w:rsidRPr="00F863EA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Індекси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промислової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продукції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666EC0" w:rsidRPr="005A24F7" w:rsidTr="00D3353C">
        <w:tc>
          <w:tcPr>
            <w:tcW w:w="2892" w:type="pct"/>
            <w:vAlign w:val="bottom"/>
          </w:tcPr>
          <w:p w:rsidR="00666EC0" w:rsidRPr="00403B50" w:rsidRDefault="00666EC0" w:rsidP="00C113D2">
            <w:pPr>
              <w:widowControl w:val="0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2010 року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–</w:t>
            </w:r>
          </w:p>
        </w:tc>
      </w:tr>
      <w:tr w:rsidR="00666EC0" w:rsidRPr="005A24F7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Капітальні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інвестиції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(у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фактичних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цінах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666EC0" w:rsidRPr="005A24F7" w:rsidTr="00D3353C">
        <w:tc>
          <w:tcPr>
            <w:tcW w:w="2892" w:type="pct"/>
            <w:vAlign w:val="bottom"/>
          </w:tcPr>
          <w:p w:rsidR="00666EC0" w:rsidRPr="00403B50" w:rsidRDefault="00666EC0" w:rsidP="00C113D2">
            <w:pPr>
              <w:widowControl w:val="0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2001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891E8C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162</w:t>
            </w:r>
            <w:r w:rsidR="00891E8C"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</w:t>
            </w:r>
          </w:p>
        </w:tc>
      </w:tr>
      <w:tr w:rsidR="00666EC0" w:rsidRPr="005A24F7" w:rsidTr="00D3353C">
        <w:tc>
          <w:tcPr>
            <w:tcW w:w="2892" w:type="pct"/>
            <w:vAlign w:val="bottom"/>
          </w:tcPr>
          <w:p w:rsidR="00666EC0" w:rsidRPr="00403B50" w:rsidRDefault="00666EC0" w:rsidP="00D3353C">
            <w:pPr>
              <w:widowControl w:val="0"/>
              <w:ind w:left="176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загального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обсягу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1,9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9E40F9" w:rsidP="000C3367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</w:t>
            </w:r>
            <w:r w:rsidR="000C3367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</w:t>
            </w:r>
          </w:p>
        </w:tc>
      </w:tr>
      <w:tr w:rsidR="00666EC0" w:rsidRPr="005A24F7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Індекси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капітальних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інвестицій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666EC0" w:rsidRPr="00F863EA" w:rsidTr="00D3353C">
        <w:tc>
          <w:tcPr>
            <w:tcW w:w="2892" w:type="pct"/>
            <w:vAlign w:val="bottom"/>
          </w:tcPr>
          <w:p w:rsidR="00666EC0" w:rsidRPr="00403B50" w:rsidRDefault="00666EC0" w:rsidP="00C113D2">
            <w:pPr>
              <w:widowControl w:val="0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2010 року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891E8C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290,3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403B50" w:rsidRDefault="00891E8C" w:rsidP="00C113D2">
            <w:pPr>
              <w:widowControl w:val="0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403B50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124,1</w:t>
            </w:r>
          </w:p>
        </w:tc>
      </w:tr>
      <w:tr w:rsidR="00666EC0" w:rsidRPr="00125EE2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Основні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засоби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(у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фактичних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цінах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на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кінець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року),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9E40F9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66239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9E40F9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70433</w:t>
            </w:r>
          </w:p>
        </w:tc>
      </w:tr>
      <w:tr w:rsidR="00666EC0" w:rsidRPr="008C2D6D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Ступінь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зносу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основних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засобів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891E8C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59,3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9E40F9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62,0</w:t>
            </w:r>
          </w:p>
        </w:tc>
      </w:tr>
      <w:tr w:rsidR="00666EC0" w:rsidRPr="008C2D6D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Середньооблікова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кількість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штатних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666EC0" w:rsidRPr="0023763F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тис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осіб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line="264" w:lineRule="auto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142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line="264" w:lineRule="auto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119</w:t>
            </w:r>
          </w:p>
        </w:tc>
      </w:tr>
      <w:tr w:rsidR="00666EC0" w:rsidRPr="009812B2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line="240" w:lineRule="exact"/>
              <w:ind w:left="176" w:right="317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загальної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кількості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працівників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5,3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5,</w:t>
            </w:r>
            <w:r w:rsidR="00C71A07" w:rsidRPr="003F37DE">
              <w:rPr>
                <w:rFonts w:ascii="Arial" w:hAnsi="Arial" w:cs="Arial"/>
                <w:snapToGrid w:val="0"/>
                <w:sz w:val="22"/>
                <w:szCs w:val="22"/>
              </w:rPr>
              <w:t>9</w:t>
            </w:r>
          </w:p>
        </w:tc>
      </w:tr>
      <w:tr w:rsidR="00666EC0" w:rsidRPr="008C2D6D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Середньомісячна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номінальна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заробітна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плата одного штатного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працівника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2777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666EC0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3498</w:t>
            </w:r>
          </w:p>
        </w:tc>
      </w:tr>
      <w:tr w:rsidR="00666EC0" w:rsidRPr="009F17CD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Фінансовий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результат до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оподаткування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C24D41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9E40F9" w:rsidRPr="003F37DE">
              <w:rPr>
                <w:rFonts w:ascii="Arial" w:hAnsi="Arial" w:cs="Arial"/>
                <w:snapToGrid w:val="0"/>
                <w:sz w:val="22"/>
                <w:szCs w:val="22"/>
              </w:rPr>
              <w:t>1506,7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C24D41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891E8C" w:rsidRPr="003F37DE">
              <w:rPr>
                <w:rFonts w:ascii="Arial" w:hAnsi="Arial" w:cs="Arial"/>
                <w:snapToGrid w:val="0"/>
                <w:sz w:val="22"/>
                <w:szCs w:val="22"/>
              </w:rPr>
              <w:t>2233,7</w:t>
            </w:r>
          </w:p>
        </w:tc>
      </w:tr>
      <w:tr w:rsidR="00666EC0" w:rsidRPr="00F863EA" w:rsidTr="00D3353C">
        <w:tc>
          <w:tcPr>
            <w:tcW w:w="2892" w:type="pct"/>
            <w:vAlign w:val="bottom"/>
          </w:tcPr>
          <w:p w:rsidR="00666EC0" w:rsidRPr="00403B50" w:rsidRDefault="006663FA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Частка</w:t>
            </w:r>
            <w:proofErr w:type="spellEnd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підприємств</w:t>
            </w:r>
            <w:proofErr w:type="spellEnd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які</w:t>
            </w:r>
            <w:proofErr w:type="spellEnd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 xml:space="preserve"> одержали </w:t>
            </w: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збиток</w:t>
            </w:r>
            <w:proofErr w:type="spellEnd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оподаткування</w:t>
            </w:r>
            <w:proofErr w:type="spellEnd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6663FA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9E40F9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4</w:t>
            </w:r>
            <w:r w:rsidR="00C71A07" w:rsidRPr="003F37DE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C71A07" w:rsidRPr="003F37DE">
              <w:rPr>
                <w:rFonts w:ascii="Arial" w:hAnsi="Arial" w:cs="Arial"/>
                <w:snapToGrid w:val="0"/>
                <w:sz w:val="22"/>
                <w:szCs w:val="22"/>
              </w:rPr>
              <w:t>5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891E8C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  <w:r w:rsidR="00C71A07" w:rsidRPr="003F37DE">
              <w:rPr>
                <w:rFonts w:ascii="Arial" w:hAnsi="Arial" w:cs="Arial"/>
                <w:snapToGrid w:val="0"/>
                <w:sz w:val="22"/>
                <w:szCs w:val="22"/>
              </w:rPr>
              <w:t>5</w:t>
            </w:r>
            <w:r w:rsidRPr="003F37DE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C71A07" w:rsidRPr="003F37DE">
              <w:rPr>
                <w:rFonts w:ascii="Arial" w:hAnsi="Arial" w:cs="Arial"/>
                <w:snapToGrid w:val="0"/>
                <w:sz w:val="22"/>
                <w:szCs w:val="22"/>
              </w:rPr>
              <w:t>7</w:t>
            </w:r>
          </w:p>
        </w:tc>
      </w:tr>
      <w:tr w:rsidR="00666EC0" w:rsidRPr="00F863EA" w:rsidTr="00D3353C">
        <w:tc>
          <w:tcPr>
            <w:tcW w:w="2892" w:type="pct"/>
            <w:vAlign w:val="bottom"/>
          </w:tcPr>
          <w:p w:rsidR="00666EC0" w:rsidRPr="00403B50" w:rsidRDefault="00666EC0" w:rsidP="003F37DE">
            <w:pPr>
              <w:widowControl w:val="0"/>
              <w:spacing w:before="240" w:line="24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Рентабельність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операційної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діяльності</w:t>
            </w:r>
            <w:proofErr w:type="spellEnd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03B50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C24D41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9E40F9" w:rsidRPr="003F37DE">
              <w:rPr>
                <w:rFonts w:ascii="Arial" w:hAnsi="Arial" w:cs="Arial"/>
                <w:snapToGrid w:val="0"/>
                <w:sz w:val="22"/>
                <w:szCs w:val="22"/>
              </w:rPr>
              <w:t>6,6</w:t>
            </w:r>
          </w:p>
        </w:tc>
        <w:tc>
          <w:tcPr>
            <w:tcW w:w="1054" w:type="pct"/>
            <w:shd w:val="clear" w:color="auto" w:fill="auto"/>
            <w:vAlign w:val="bottom"/>
          </w:tcPr>
          <w:p w:rsidR="00666EC0" w:rsidRPr="003F37DE" w:rsidRDefault="00C24D41" w:rsidP="003F37DE">
            <w:pPr>
              <w:widowControl w:val="0"/>
              <w:spacing w:before="240"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891E8C" w:rsidRPr="003F37DE">
              <w:rPr>
                <w:rFonts w:ascii="Arial" w:hAnsi="Arial" w:cs="Arial"/>
                <w:snapToGrid w:val="0"/>
                <w:sz w:val="22"/>
                <w:szCs w:val="22"/>
              </w:rPr>
              <w:t>5,7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81"/>
      </w:tblGrid>
      <w:tr w:rsidR="003F389D" w:rsidRPr="00666EC0" w:rsidTr="000D25AE">
        <w:tc>
          <w:tcPr>
            <w:tcW w:w="435" w:type="pct"/>
          </w:tcPr>
          <w:p w:rsidR="003F389D" w:rsidRPr="001D5BEE" w:rsidRDefault="00A5119F" w:rsidP="00134D53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  <w:r w:rsidR="003F389D" w:rsidRPr="001D5BEE">
              <w:rPr>
                <w:rFonts w:ascii="Arial" w:hAnsi="Arial" w:cs="Arial"/>
                <w:sz w:val="24"/>
                <w:szCs w:val="24"/>
              </w:rPr>
              <w:t>.</w:t>
            </w:r>
            <w:r w:rsidR="003F389D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="003F389D" w:rsidRPr="001D5B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pct"/>
          </w:tcPr>
          <w:p w:rsidR="003F389D" w:rsidRPr="001D5BEE" w:rsidRDefault="003F389D" w:rsidP="00DF21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5BEE">
              <w:rPr>
                <w:rFonts w:ascii="Arial" w:hAnsi="Arial" w:cs="Arial"/>
                <w:sz w:val="24"/>
                <w:szCs w:val="24"/>
              </w:rPr>
              <w:t>Обсяг</w:t>
            </w:r>
            <w:r w:rsidR="00105923">
              <w:rPr>
                <w:rFonts w:ascii="Arial" w:hAnsi="Arial" w:cs="Arial"/>
                <w:sz w:val="24"/>
                <w:szCs w:val="24"/>
              </w:rPr>
              <w:t>и</w:t>
            </w:r>
            <w:r w:rsidRPr="001D5BEE">
              <w:rPr>
                <w:rFonts w:ascii="Arial" w:hAnsi="Arial" w:cs="Arial"/>
                <w:sz w:val="24"/>
                <w:szCs w:val="24"/>
              </w:rPr>
              <w:t xml:space="preserve"> реалізованої промислової продукції </w:t>
            </w:r>
            <w:r w:rsidRPr="007B010C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A5119F">
              <w:rPr>
                <w:rFonts w:ascii="Arial" w:hAnsi="Arial" w:cs="Arial"/>
                <w:sz w:val="24"/>
                <w:szCs w:val="24"/>
              </w:rPr>
              <w:t>в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>одопостачанн</w:t>
            </w:r>
            <w:r w:rsidR="00DF0088">
              <w:rPr>
                <w:rFonts w:ascii="Arial" w:hAnsi="Arial" w:cs="Arial"/>
                <w:sz w:val="24"/>
                <w:szCs w:val="24"/>
              </w:rPr>
              <w:t>і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>; каналізаці</w:t>
            </w:r>
            <w:r w:rsidR="00DF21C4">
              <w:rPr>
                <w:rFonts w:ascii="Arial" w:hAnsi="Arial" w:cs="Arial"/>
                <w:sz w:val="24"/>
                <w:szCs w:val="24"/>
              </w:rPr>
              <w:t>ї</w:t>
            </w:r>
            <w:r w:rsidR="00A5119F" w:rsidRPr="00A5119F">
              <w:rPr>
                <w:rFonts w:ascii="Arial" w:hAnsi="Arial" w:cs="Arial"/>
                <w:sz w:val="24"/>
                <w:szCs w:val="24"/>
              </w:rPr>
              <w:t>, поводження з відхода</w:t>
            </w:r>
            <w:r w:rsidR="00A5119F">
              <w:rPr>
                <w:rFonts w:ascii="Arial" w:hAnsi="Arial" w:cs="Arial"/>
                <w:sz w:val="24"/>
                <w:szCs w:val="24"/>
              </w:rPr>
              <w:t>ми</w:t>
            </w:r>
            <w:r w:rsidR="003A15B0">
              <w:rPr>
                <w:rFonts w:ascii="Arial" w:hAnsi="Arial" w:cs="Arial"/>
                <w:sz w:val="24"/>
                <w:szCs w:val="24"/>
              </w:rPr>
              <w:t xml:space="preserve"> за видами діяльності</w:t>
            </w:r>
          </w:p>
        </w:tc>
      </w:tr>
      <w:tr w:rsidR="003F389D" w:rsidRPr="00A34647" w:rsidTr="000D25AE">
        <w:tc>
          <w:tcPr>
            <w:tcW w:w="435" w:type="pct"/>
          </w:tcPr>
          <w:p w:rsidR="003F389D" w:rsidRPr="004465DC" w:rsidRDefault="003F389D" w:rsidP="00134D53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5" w:type="pct"/>
          </w:tcPr>
          <w:p w:rsidR="003F389D" w:rsidRPr="00105923" w:rsidRDefault="00105923" w:rsidP="00134D53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105923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Industrial turnover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ater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supply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sewerage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waste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management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remediation</w:t>
            </w:r>
            <w:proofErr w:type="spellEnd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A5119F" w:rsidRPr="00105923">
              <w:rPr>
                <w:rFonts w:ascii="Arial" w:hAnsi="Arial" w:cs="Arial"/>
                <w:b w:val="0"/>
                <w:i/>
                <w:sz w:val="22"/>
                <w:szCs w:val="22"/>
              </w:rPr>
              <w:t>activities</w:t>
            </w:r>
            <w:proofErr w:type="spellEnd"/>
            <w:r w:rsidR="003A15B0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3A15B0" w:rsidRPr="000C5CB0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057966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by type of activity</w:t>
            </w:r>
          </w:p>
        </w:tc>
      </w:tr>
    </w:tbl>
    <w:p w:rsidR="003F389D" w:rsidRPr="009F6728" w:rsidRDefault="003F389D" w:rsidP="00134D53">
      <w:pPr>
        <w:jc w:val="right"/>
        <w:rPr>
          <w:rFonts w:ascii="Arial" w:hAnsi="Arial" w:cs="Arial"/>
          <w:i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95"/>
        <w:gridCol w:w="1134"/>
        <w:gridCol w:w="1841"/>
        <w:gridCol w:w="1700"/>
      </w:tblGrid>
      <w:tr w:rsidR="00105923" w:rsidRPr="0067480B" w:rsidTr="00F60DAD">
        <w:tc>
          <w:tcPr>
            <w:tcW w:w="242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05923" w:rsidRPr="00525FE2" w:rsidRDefault="00105923" w:rsidP="00134D53">
            <w:pPr>
              <w:pStyle w:val="1"/>
              <w:spacing w:before="0" w:line="235" w:lineRule="auto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923" w:rsidRPr="00525FE2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DAD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Обсяг реалізованої </w:t>
            </w:r>
          </w:p>
          <w:p w:rsidR="00105923" w:rsidRPr="00525FE2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продукції</w:t>
            </w:r>
          </w:p>
        </w:tc>
      </w:tr>
      <w:tr w:rsidR="00105923" w:rsidRPr="0067480B" w:rsidTr="00F60DAD">
        <w:trPr>
          <w:trHeight w:val="256"/>
        </w:trPr>
        <w:tc>
          <w:tcPr>
            <w:tcW w:w="242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05923" w:rsidRPr="00525FE2" w:rsidRDefault="00105923" w:rsidP="00134D53">
            <w:pPr>
              <w:pStyle w:val="1"/>
              <w:spacing w:before="0" w:line="235" w:lineRule="auto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923" w:rsidRPr="00525FE2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23" w:rsidRPr="00525FE2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proofErr w:type="spellStart"/>
            <w:r w:rsidRPr="00525FE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923" w:rsidRPr="00525FE2" w:rsidRDefault="00105923" w:rsidP="00134D53">
            <w:pPr>
              <w:widowControl w:val="0"/>
              <w:spacing w:line="235" w:lineRule="auto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 % до підсумку</w:t>
            </w:r>
          </w:p>
        </w:tc>
      </w:tr>
      <w:tr w:rsidR="00105923" w:rsidRPr="00F77ED4" w:rsidTr="00F60DAD"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105923" w:rsidRPr="00525FE2" w:rsidRDefault="00105923" w:rsidP="00F60DAD">
            <w:pPr>
              <w:spacing w:before="6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Водопостачання</w:t>
            </w:r>
            <w:proofErr w:type="spellEnd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каналізація</w:t>
            </w:r>
            <w:proofErr w:type="spellEnd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поводження</w:t>
            </w:r>
            <w:proofErr w:type="spellEnd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з </w:t>
            </w:r>
            <w:proofErr w:type="spellStart"/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525FE2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22244,7</w:t>
            </w:r>
          </w:p>
        </w:tc>
        <w:tc>
          <w:tcPr>
            <w:tcW w:w="937" w:type="pct"/>
            <w:tcBorders>
              <w:top w:val="single" w:sz="4" w:space="0" w:color="auto"/>
            </w:tcBorders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525FE2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100</w:t>
            </w:r>
            <w:r w:rsidR="00657024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,0</w:t>
            </w:r>
          </w:p>
        </w:tc>
      </w:tr>
      <w:tr w:rsidR="00105923" w:rsidRPr="00F77ED4" w:rsidTr="00F60DAD">
        <w:tc>
          <w:tcPr>
            <w:tcW w:w="2423" w:type="pct"/>
            <w:vAlign w:val="bottom"/>
          </w:tcPr>
          <w:p w:rsidR="00105923" w:rsidRPr="00525FE2" w:rsidRDefault="00105923" w:rsidP="00F60DAD">
            <w:pPr>
              <w:spacing w:before="60"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525FE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1015" w:type="pct"/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525FE2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20528,0</w:t>
            </w:r>
          </w:p>
        </w:tc>
        <w:tc>
          <w:tcPr>
            <w:tcW w:w="937" w:type="pct"/>
            <w:vAlign w:val="bottom"/>
          </w:tcPr>
          <w:p w:rsidR="00105923" w:rsidRPr="00525FE2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525FE2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100</w:t>
            </w:r>
            <w:r w:rsidR="00657024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,0</w:t>
            </w:r>
          </w:p>
        </w:tc>
      </w:tr>
      <w:tr w:rsidR="00105923" w:rsidRPr="00F77ED4" w:rsidTr="00F60DAD">
        <w:tc>
          <w:tcPr>
            <w:tcW w:w="2423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2013</w:t>
            </w:r>
          </w:p>
        </w:tc>
        <w:tc>
          <w:tcPr>
            <w:tcW w:w="1015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20589,7</w:t>
            </w:r>
          </w:p>
        </w:tc>
        <w:tc>
          <w:tcPr>
            <w:tcW w:w="937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657024" w:rsidRPr="00F60DAD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105923" w:rsidRPr="00F77ED4" w:rsidTr="00F60DAD">
        <w:tc>
          <w:tcPr>
            <w:tcW w:w="2423" w:type="pct"/>
          </w:tcPr>
          <w:p w:rsidR="00105923" w:rsidRPr="00F60DAD" w:rsidRDefault="00105923" w:rsidP="00F60DAD">
            <w:pPr>
              <w:spacing w:before="60"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1015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18599,8</w:t>
            </w:r>
          </w:p>
        </w:tc>
        <w:tc>
          <w:tcPr>
            <w:tcW w:w="937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657024" w:rsidRPr="00F60DAD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105923" w:rsidRPr="00F77ED4" w:rsidTr="00F60DAD">
        <w:tc>
          <w:tcPr>
            <w:tcW w:w="2423" w:type="pct"/>
          </w:tcPr>
          <w:p w:rsidR="00105923" w:rsidRPr="00F60DAD" w:rsidRDefault="00105923" w:rsidP="00F60DAD">
            <w:pPr>
              <w:spacing w:before="60"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1015" w:type="pct"/>
            <w:vAlign w:val="bottom"/>
          </w:tcPr>
          <w:p w:rsidR="00105923" w:rsidRPr="00F60DAD" w:rsidRDefault="00657024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21086,0</w:t>
            </w:r>
          </w:p>
        </w:tc>
        <w:tc>
          <w:tcPr>
            <w:tcW w:w="937" w:type="pct"/>
            <w:vAlign w:val="bottom"/>
          </w:tcPr>
          <w:p w:rsidR="00105923" w:rsidRPr="00F60DAD" w:rsidRDefault="00105923" w:rsidP="00F60DAD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60DAD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657024" w:rsidRPr="00F60DAD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657024" w:rsidRPr="00BC16C4" w:rsidTr="00C046DE">
        <w:tc>
          <w:tcPr>
            <w:tcW w:w="2423" w:type="pct"/>
          </w:tcPr>
          <w:p w:rsidR="00657024" w:rsidRPr="00525FE2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>З</w:t>
            </w:r>
            <w:proofErr w:type="spellStart"/>
            <w:r w:rsidRPr="00525FE2">
              <w:rPr>
                <w:rFonts w:ascii="Arial" w:hAnsi="Arial" w:cs="Arial"/>
                <w:bCs/>
                <w:sz w:val="22"/>
                <w:szCs w:val="22"/>
              </w:rPr>
              <w:t>бір</w:t>
            </w:r>
            <w:proofErr w:type="spellEnd"/>
            <w:r w:rsidRPr="00525FE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r w:rsidRPr="00525FE2">
              <w:rPr>
                <w:rFonts w:ascii="Arial" w:hAnsi="Arial" w:cs="Arial"/>
                <w:bCs/>
                <w:sz w:val="22"/>
                <w:szCs w:val="22"/>
              </w:rPr>
              <w:t>очищення</w:t>
            </w:r>
            <w:proofErr w:type="spellEnd"/>
            <w:r w:rsidRPr="00525FE2">
              <w:rPr>
                <w:rFonts w:ascii="Arial" w:hAnsi="Arial" w:cs="Arial"/>
                <w:bCs/>
                <w:sz w:val="22"/>
                <w:szCs w:val="22"/>
              </w:rPr>
              <w:t xml:space="preserve"> та </w:t>
            </w:r>
            <w:proofErr w:type="spellStart"/>
            <w:r w:rsidRPr="00525FE2">
              <w:rPr>
                <w:rFonts w:ascii="Arial" w:hAnsi="Arial" w:cs="Arial"/>
                <w:bCs/>
                <w:sz w:val="22"/>
                <w:szCs w:val="22"/>
              </w:rPr>
              <w:t>постачання</w:t>
            </w:r>
            <w:proofErr w:type="spellEnd"/>
            <w:r w:rsidRPr="00525FE2">
              <w:rPr>
                <w:rFonts w:ascii="Arial" w:hAnsi="Arial" w:cs="Arial"/>
                <w:bCs/>
                <w:sz w:val="22"/>
                <w:szCs w:val="22"/>
              </w:rPr>
              <w:t xml:space="preserve"> води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7024" w:rsidRPr="00525FE2" w:rsidRDefault="00657024" w:rsidP="00C046DE">
            <w:pPr>
              <w:spacing w:before="60"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525FE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525FE2" w:rsidRDefault="00657024" w:rsidP="00F60DAD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525FE2">
              <w:rPr>
                <w:rFonts w:ascii="Arial" w:hAnsi="Arial" w:cs="Arial"/>
                <w:sz w:val="22"/>
                <w:szCs w:val="22"/>
                <w:lang w:val="uk-UA" w:eastAsia="uk-UA"/>
              </w:rPr>
              <w:t>6268,6</w:t>
            </w:r>
          </w:p>
        </w:tc>
        <w:tc>
          <w:tcPr>
            <w:tcW w:w="937" w:type="pct"/>
            <w:vAlign w:val="bottom"/>
          </w:tcPr>
          <w:p w:rsidR="00657024" w:rsidRDefault="00657024" w:rsidP="00F60DAD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28,2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6983,8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34,0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7088,6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34,4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6368,6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34,2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7438,6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35,3</w:t>
            </w:r>
          </w:p>
        </w:tc>
      </w:tr>
      <w:tr w:rsidR="00657024" w:rsidRPr="00BC16C4" w:rsidTr="00DF21C4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>Каналізація</w:t>
            </w: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, відведення й очищення </w:t>
            </w:r>
            <w:proofErr w:type="spellStart"/>
            <w:r w:rsidRPr="0044741C">
              <w:rPr>
                <w:rFonts w:ascii="Arial" w:hAnsi="Arial" w:cs="Arial"/>
                <w:bCs/>
                <w:sz w:val="22"/>
                <w:szCs w:val="22"/>
              </w:rPr>
              <w:t>стічних</w:t>
            </w:r>
            <w:proofErr w:type="spellEnd"/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вод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7024" w:rsidRPr="00F60DAD" w:rsidRDefault="00657024" w:rsidP="00DF21C4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3184,0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14,3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3296,3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16,1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3449,6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16,8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3467,6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7D3960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18,</w:t>
            </w:r>
            <w:r w:rsidR="007D3960">
              <w:rPr>
                <w:rFonts w:ascii="Arial" w:hAnsi="Arial" w:cs="Arial"/>
                <w:bCs/>
                <w:sz w:val="22"/>
                <w:szCs w:val="22"/>
                <w:lang w:val="uk-UA"/>
              </w:rPr>
              <w:t>7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4195,2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19,9</w:t>
            </w:r>
          </w:p>
        </w:tc>
      </w:tr>
      <w:tr w:rsidR="00657024" w:rsidRPr="00BC16C4" w:rsidTr="00DF21C4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bookmarkStart w:id="0" w:name="_GoBack" w:colFirst="0" w:colLast="0"/>
            <w:proofErr w:type="spellStart"/>
            <w:r w:rsidRPr="0044741C">
              <w:rPr>
                <w:rFonts w:ascii="Arial" w:hAnsi="Arial" w:cs="Arial"/>
                <w:bCs/>
                <w:sz w:val="22"/>
                <w:szCs w:val="22"/>
              </w:rPr>
              <w:t>Збирання</w:t>
            </w:r>
            <w:proofErr w:type="spellEnd"/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, оброблення й видалення відходів; </w:t>
            </w: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>відновлення</w:t>
            </w: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матеріалів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7024" w:rsidRPr="00F60DAD" w:rsidRDefault="00657024" w:rsidP="00DF21C4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12723,8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57,2</w:t>
            </w:r>
          </w:p>
        </w:tc>
      </w:tr>
      <w:bookmarkEnd w:id="0"/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10146,2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49,4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9993,9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48,5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8708,9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46,8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9285,7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44,0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>З</w:t>
            </w: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бирання відходів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2717,8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12,2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2908,3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14,2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2961,5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14,4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2447,4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7D3960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13,</w:t>
            </w:r>
            <w:r w:rsidR="007D3960">
              <w:rPr>
                <w:rFonts w:ascii="Arial" w:hAnsi="Arial" w:cs="Arial"/>
                <w:bCs/>
                <w:sz w:val="22"/>
                <w:szCs w:val="22"/>
                <w:lang w:val="uk-UA"/>
              </w:rPr>
              <w:t>1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2893,2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13,7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Оброблення та видалення відходів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224,5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1,0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300,4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1,5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381,6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1,9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347,7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1,9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430,9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2,0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Відновлення</w:t>
            </w: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</w:t>
            </w: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матеріалів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9781,5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44,0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44741C">
            <w:pPr>
              <w:spacing w:before="60" w:line="200" w:lineRule="exact"/>
              <w:ind w:left="284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6937,5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33,8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6650,8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32,3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5913,8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31,8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5961,6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28,3</w:t>
            </w:r>
          </w:p>
        </w:tc>
      </w:tr>
      <w:tr w:rsidR="00657024" w:rsidRPr="00BC16C4" w:rsidTr="00DF21C4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525FE2">
              <w:rPr>
                <w:rFonts w:ascii="Arial" w:hAnsi="Arial" w:cs="Arial"/>
                <w:bCs/>
                <w:sz w:val="22"/>
                <w:szCs w:val="22"/>
                <w:lang w:val="uk-UA"/>
              </w:rPr>
              <w:t>І</w:t>
            </w: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нша діяльність щодо поводження з відходами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657024" w:rsidRPr="00F60DAD" w:rsidRDefault="00657024" w:rsidP="00DF21C4">
            <w:pPr>
              <w:spacing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2011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68,3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0,3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2012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101,7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0,5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2013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57,6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0,3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54,7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0,3</w:t>
            </w:r>
          </w:p>
        </w:tc>
      </w:tr>
      <w:tr w:rsidR="00657024" w:rsidRPr="00BC16C4" w:rsidTr="00F60DAD">
        <w:tc>
          <w:tcPr>
            <w:tcW w:w="2423" w:type="pct"/>
          </w:tcPr>
          <w:p w:rsidR="00657024" w:rsidRPr="00F60DAD" w:rsidRDefault="00657024" w:rsidP="00F60DAD">
            <w:pPr>
              <w:spacing w:before="60" w:line="200" w:lineRule="exact"/>
              <w:ind w:left="113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657024" w:rsidRPr="00F60DAD" w:rsidRDefault="00657024" w:rsidP="00F60DAD">
            <w:pPr>
              <w:spacing w:before="60" w:line="200" w:lineRule="exact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5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166,5</w:t>
            </w:r>
          </w:p>
        </w:tc>
        <w:tc>
          <w:tcPr>
            <w:tcW w:w="937" w:type="pct"/>
            <w:vAlign w:val="bottom"/>
          </w:tcPr>
          <w:p w:rsidR="00657024" w:rsidRPr="00F60DAD" w:rsidRDefault="00657024" w:rsidP="00F60DA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F60DAD">
              <w:rPr>
                <w:rFonts w:ascii="Arial" w:hAnsi="Arial" w:cs="Arial"/>
                <w:bCs/>
                <w:sz w:val="22"/>
                <w:szCs w:val="22"/>
                <w:lang w:val="uk-UA"/>
              </w:rPr>
              <w:t>0,8</w:t>
            </w:r>
          </w:p>
        </w:tc>
      </w:tr>
    </w:tbl>
    <w:p w:rsidR="00134D53" w:rsidRDefault="00134D53"/>
    <w:sectPr w:rsidR="00134D53" w:rsidSect="003A411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pgNumType w:start="36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9D" w:rsidRDefault="00041E9D" w:rsidP="00B47BDE">
      <w:r>
        <w:separator/>
      </w:r>
    </w:p>
  </w:endnote>
  <w:endnote w:type="continuationSeparator" w:id="0">
    <w:p w:rsidR="00041E9D" w:rsidRDefault="00041E9D" w:rsidP="00B4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88C" w:rsidRPr="00A45F52" w:rsidRDefault="003A588C" w:rsidP="003A588C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34647">
      <w:rPr>
        <w:rStyle w:val="a8"/>
        <w:noProof/>
      </w:rPr>
      <w:t>368</w:t>
    </w:r>
    <w:r>
      <w:rPr>
        <w:rStyle w:val="a8"/>
      </w:rPr>
      <w:fldChar w:fldCharType="end"/>
    </w:r>
    <w:r>
      <w:rPr>
        <w:rStyle w:val="a8"/>
      </w:rPr>
      <w:t xml:space="preserve"> </w:t>
    </w:r>
    <w:r>
      <w:rPr>
        <w:rStyle w:val="a8"/>
      </w:rPr>
      <w:tab/>
      <w:t xml:space="preserve">               </w:t>
    </w:r>
    <w:r>
      <w:rPr>
        <w:rFonts w:ascii="Arial" w:hAnsi="Arial"/>
      </w:rPr>
      <w:t>Збірник  "Промисловість України у 2011–2015 роках"</w:t>
    </w:r>
  </w:p>
  <w:p w:rsidR="003A588C" w:rsidRPr="003115CE" w:rsidRDefault="003A588C" w:rsidP="003A588C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6B" w:rsidRPr="00A34647" w:rsidRDefault="00625B6B" w:rsidP="00625B6B">
    <w:pPr>
      <w:pStyle w:val="a6"/>
      <w:pBdr>
        <w:top w:val="single" w:sz="6" w:space="6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A34647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A34647">
      <w:rPr>
        <w:rStyle w:val="a8"/>
        <w:rFonts w:ascii="Arial" w:hAnsi="Arial" w:cs="Arial"/>
        <w:sz w:val="20"/>
        <w:szCs w:val="20"/>
      </w:rPr>
      <w:t xml:space="preserve"> </w:t>
    </w:r>
    <w:r w:rsidRPr="00A34647">
      <w:rPr>
        <w:rStyle w:val="a8"/>
        <w:rFonts w:ascii="Arial" w:hAnsi="Arial" w:cs="Arial"/>
        <w:sz w:val="20"/>
        <w:szCs w:val="20"/>
      </w:rPr>
      <w:tab/>
    </w:r>
    <w:r w:rsidRPr="00A34647">
      <w:rPr>
        <w:rStyle w:val="a8"/>
        <w:rFonts w:ascii="Arial" w:hAnsi="Arial" w:cs="Arial"/>
        <w:sz w:val="20"/>
        <w:szCs w:val="20"/>
      </w:rPr>
      <w:tab/>
    </w:r>
    <w:r w:rsidRPr="00A34647">
      <w:rPr>
        <w:rStyle w:val="a8"/>
        <w:rFonts w:ascii="Arial" w:hAnsi="Arial" w:cs="Arial"/>
        <w:sz w:val="20"/>
        <w:szCs w:val="20"/>
      </w:rPr>
      <w:fldChar w:fldCharType="begin"/>
    </w:r>
    <w:r w:rsidRPr="00A34647">
      <w:rPr>
        <w:rStyle w:val="a8"/>
        <w:rFonts w:ascii="Arial" w:hAnsi="Arial" w:cs="Arial"/>
        <w:sz w:val="20"/>
        <w:szCs w:val="20"/>
      </w:rPr>
      <w:instrText xml:space="preserve"> PAGE </w:instrText>
    </w:r>
    <w:r w:rsidRPr="00A34647">
      <w:rPr>
        <w:rStyle w:val="a8"/>
        <w:rFonts w:ascii="Arial" w:hAnsi="Arial" w:cs="Arial"/>
        <w:sz w:val="20"/>
        <w:szCs w:val="20"/>
      </w:rPr>
      <w:fldChar w:fldCharType="separate"/>
    </w:r>
    <w:r w:rsidR="00A34647">
      <w:rPr>
        <w:rStyle w:val="a8"/>
        <w:rFonts w:ascii="Arial" w:hAnsi="Arial" w:cs="Arial"/>
        <w:noProof/>
        <w:sz w:val="20"/>
        <w:szCs w:val="20"/>
      </w:rPr>
      <w:t>367</w:t>
    </w:r>
    <w:r w:rsidRPr="00A34647">
      <w:rPr>
        <w:rStyle w:val="a8"/>
        <w:rFonts w:ascii="Arial" w:hAnsi="Arial" w:cs="Arial"/>
        <w:sz w:val="20"/>
        <w:szCs w:val="20"/>
      </w:rPr>
      <w:fldChar w:fldCharType="end"/>
    </w:r>
  </w:p>
  <w:p w:rsidR="00625B6B" w:rsidRPr="00A34647" w:rsidRDefault="00625B6B" w:rsidP="00625B6B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A34647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10" w:rsidRPr="00A34647" w:rsidRDefault="003A4110" w:rsidP="00A34647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rFonts w:ascii="Arial" w:hAnsi="Arial" w:cs="Arial"/>
        <w:sz w:val="20"/>
        <w:szCs w:val="20"/>
      </w:rPr>
    </w:pPr>
    <w:r w:rsidRPr="00A34647">
      <w:rPr>
        <w:rStyle w:val="a8"/>
        <w:rFonts w:ascii="Arial" w:hAnsi="Arial" w:cs="Arial"/>
        <w:sz w:val="20"/>
        <w:szCs w:val="20"/>
      </w:rPr>
      <w:fldChar w:fldCharType="begin"/>
    </w:r>
    <w:r w:rsidRPr="00A34647">
      <w:rPr>
        <w:rStyle w:val="a8"/>
        <w:rFonts w:ascii="Arial" w:hAnsi="Arial" w:cs="Arial"/>
        <w:sz w:val="20"/>
        <w:szCs w:val="20"/>
      </w:rPr>
      <w:instrText xml:space="preserve"> PAGE </w:instrText>
    </w:r>
    <w:r w:rsidRPr="00A34647">
      <w:rPr>
        <w:rStyle w:val="a8"/>
        <w:rFonts w:ascii="Arial" w:hAnsi="Arial" w:cs="Arial"/>
        <w:sz w:val="20"/>
        <w:szCs w:val="20"/>
      </w:rPr>
      <w:fldChar w:fldCharType="separate"/>
    </w:r>
    <w:r w:rsidR="00A34647">
      <w:rPr>
        <w:rStyle w:val="a8"/>
        <w:rFonts w:ascii="Arial" w:hAnsi="Arial" w:cs="Arial"/>
        <w:noProof/>
        <w:sz w:val="20"/>
        <w:szCs w:val="20"/>
      </w:rPr>
      <w:t>366</w:t>
    </w:r>
    <w:r w:rsidRPr="00A34647">
      <w:rPr>
        <w:rStyle w:val="a8"/>
        <w:rFonts w:ascii="Arial" w:hAnsi="Arial" w:cs="Arial"/>
        <w:sz w:val="20"/>
        <w:szCs w:val="20"/>
      </w:rPr>
      <w:fldChar w:fldCharType="end"/>
    </w:r>
    <w:r w:rsidRPr="00A34647">
      <w:rPr>
        <w:rStyle w:val="a8"/>
        <w:rFonts w:ascii="Arial" w:hAnsi="Arial" w:cs="Arial"/>
        <w:sz w:val="20"/>
        <w:szCs w:val="20"/>
      </w:rPr>
      <w:t xml:space="preserve"> </w:t>
    </w:r>
    <w:r w:rsidRPr="00A34647">
      <w:rPr>
        <w:rStyle w:val="a8"/>
        <w:rFonts w:ascii="Arial" w:hAnsi="Arial" w:cs="Arial"/>
        <w:sz w:val="20"/>
        <w:szCs w:val="20"/>
      </w:rPr>
      <w:tab/>
    </w:r>
    <w:r w:rsidR="00A34647">
      <w:rPr>
        <w:rStyle w:val="a8"/>
        <w:rFonts w:ascii="Arial" w:hAnsi="Arial" w:cs="Arial"/>
        <w:sz w:val="20"/>
        <w:szCs w:val="20"/>
      </w:rPr>
      <w:t xml:space="preserve">        </w:t>
    </w:r>
    <w:r w:rsidRPr="00A34647">
      <w:rPr>
        <w:rStyle w:val="a8"/>
        <w:rFonts w:ascii="Arial" w:hAnsi="Arial" w:cs="Arial"/>
        <w:sz w:val="20"/>
        <w:szCs w:val="20"/>
      </w:rPr>
      <w:t xml:space="preserve">              </w:t>
    </w:r>
    <w:r w:rsidRPr="00A34647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3A4110" w:rsidRPr="00A34647" w:rsidRDefault="003A4110" w:rsidP="003A4110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A34647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9D" w:rsidRDefault="00041E9D" w:rsidP="00B47BDE">
      <w:r>
        <w:separator/>
      </w:r>
    </w:p>
  </w:footnote>
  <w:footnote w:type="continuationSeparator" w:id="0">
    <w:p w:rsidR="00041E9D" w:rsidRDefault="00041E9D" w:rsidP="00B4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6" w:rsidRPr="00A5119F" w:rsidRDefault="00A5119F" w:rsidP="00B47BDE">
    <w:pPr>
      <w:pStyle w:val="a4"/>
      <w:pBdr>
        <w:bottom w:val="single" w:sz="4" w:space="1" w:color="auto"/>
      </w:pBdr>
      <w:jc w:val="center"/>
      <w:rPr>
        <w:caps/>
      </w:rPr>
    </w:pPr>
    <w:r w:rsidRPr="00A5119F">
      <w:rPr>
        <w:rFonts w:ascii="Arial" w:hAnsi="Arial"/>
        <w:caps/>
      </w:rPr>
      <w:t xml:space="preserve">Водопостачання; каналізація, поводження з відходами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936" w:rsidRPr="002D74E8" w:rsidRDefault="00E02055" w:rsidP="00B47BDE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ВОДОПОСТАЧАННЯ; КАНАЛІЗАЦІЯ, ПОВОДЖЕННЯ З ВІДХОДАМИ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7B734F0"/>
    <w:multiLevelType w:val="hybridMultilevel"/>
    <w:tmpl w:val="B216696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F20EA"/>
    <w:multiLevelType w:val="hybridMultilevel"/>
    <w:tmpl w:val="D31688DC"/>
    <w:lvl w:ilvl="0" w:tplc="2B8C1F3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15E9B"/>
    <w:multiLevelType w:val="hybridMultilevel"/>
    <w:tmpl w:val="9EACBCCA"/>
    <w:lvl w:ilvl="0" w:tplc="A54CE902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358EF"/>
    <w:multiLevelType w:val="hybridMultilevel"/>
    <w:tmpl w:val="582879D6"/>
    <w:lvl w:ilvl="0" w:tplc="EA8CBBF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CB"/>
    <w:rsid w:val="00041E9D"/>
    <w:rsid w:val="000469BA"/>
    <w:rsid w:val="00052540"/>
    <w:rsid w:val="00057966"/>
    <w:rsid w:val="00071B20"/>
    <w:rsid w:val="000962FF"/>
    <w:rsid w:val="000A04BB"/>
    <w:rsid w:val="000C3367"/>
    <w:rsid w:val="000C59C2"/>
    <w:rsid w:val="000D25AE"/>
    <w:rsid w:val="00105923"/>
    <w:rsid w:val="00134D53"/>
    <w:rsid w:val="001467AE"/>
    <w:rsid w:val="00172281"/>
    <w:rsid w:val="001B267B"/>
    <w:rsid w:val="001C3830"/>
    <w:rsid w:val="001E63A9"/>
    <w:rsid w:val="001E70E1"/>
    <w:rsid w:val="001F2B87"/>
    <w:rsid w:val="001F4936"/>
    <w:rsid w:val="00242594"/>
    <w:rsid w:val="00267C2E"/>
    <w:rsid w:val="002B0214"/>
    <w:rsid w:val="00317D17"/>
    <w:rsid w:val="00373918"/>
    <w:rsid w:val="003826E9"/>
    <w:rsid w:val="0039416F"/>
    <w:rsid w:val="003A15B0"/>
    <w:rsid w:val="003A4110"/>
    <w:rsid w:val="003A588C"/>
    <w:rsid w:val="003C0743"/>
    <w:rsid w:val="003F37DE"/>
    <w:rsid w:val="003F389D"/>
    <w:rsid w:val="00403B50"/>
    <w:rsid w:val="00405ADF"/>
    <w:rsid w:val="004072CD"/>
    <w:rsid w:val="00426AE2"/>
    <w:rsid w:val="0044741C"/>
    <w:rsid w:val="00453051"/>
    <w:rsid w:val="00461727"/>
    <w:rsid w:val="00486322"/>
    <w:rsid w:val="004D2706"/>
    <w:rsid w:val="004E1C91"/>
    <w:rsid w:val="00525FE2"/>
    <w:rsid w:val="005472F4"/>
    <w:rsid w:val="00590F16"/>
    <w:rsid w:val="005F7692"/>
    <w:rsid w:val="006037BE"/>
    <w:rsid w:val="00625B6B"/>
    <w:rsid w:val="00657024"/>
    <w:rsid w:val="006663FA"/>
    <w:rsid w:val="00666EC0"/>
    <w:rsid w:val="00677195"/>
    <w:rsid w:val="00682E76"/>
    <w:rsid w:val="006A400E"/>
    <w:rsid w:val="006D5A21"/>
    <w:rsid w:val="006F3E02"/>
    <w:rsid w:val="00725767"/>
    <w:rsid w:val="00731935"/>
    <w:rsid w:val="00741C9D"/>
    <w:rsid w:val="007635D6"/>
    <w:rsid w:val="00771757"/>
    <w:rsid w:val="00777AF0"/>
    <w:rsid w:val="0079220C"/>
    <w:rsid w:val="007A5E21"/>
    <w:rsid w:val="007D3960"/>
    <w:rsid w:val="007E53E5"/>
    <w:rsid w:val="008013C1"/>
    <w:rsid w:val="00891A1B"/>
    <w:rsid w:val="00891E8C"/>
    <w:rsid w:val="008B61BC"/>
    <w:rsid w:val="008C17EE"/>
    <w:rsid w:val="008C386B"/>
    <w:rsid w:val="008F4C10"/>
    <w:rsid w:val="00910A0F"/>
    <w:rsid w:val="00924CCB"/>
    <w:rsid w:val="009456BE"/>
    <w:rsid w:val="009461B9"/>
    <w:rsid w:val="00990CDE"/>
    <w:rsid w:val="009C1448"/>
    <w:rsid w:val="009E40F9"/>
    <w:rsid w:val="009F50A1"/>
    <w:rsid w:val="00A02BD3"/>
    <w:rsid w:val="00A34647"/>
    <w:rsid w:val="00A5119F"/>
    <w:rsid w:val="00A7114D"/>
    <w:rsid w:val="00A870F9"/>
    <w:rsid w:val="00B26ED3"/>
    <w:rsid w:val="00B33757"/>
    <w:rsid w:val="00B338F1"/>
    <w:rsid w:val="00B47BDE"/>
    <w:rsid w:val="00B67A5B"/>
    <w:rsid w:val="00BC2C89"/>
    <w:rsid w:val="00BC48D7"/>
    <w:rsid w:val="00BF6668"/>
    <w:rsid w:val="00C00604"/>
    <w:rsid w:val="00C046DE"/>
    <w:rsid w:val="00C1211C"/>
    <w:rsid w:val="00C24D41"/>
    <w:rsid w:val="00C71A07"/>
    <w:rsid w:val="00C736F1"/>
    <w:rsid w:val="00CA0040"/>
    <w:rsid w:val="00CF6401"/>
    <w:rsid w:val="00D139FA"/>
    <w:rsid w:val="00D27CD7"/>
    <w:rsid w:val="00D3353C"/>
    <w:rsid w:val="00D66119"/>
    <w:rsid w:val="00D67FEA"/>
    <w:rsid w:val="00D72385"/>
    <w:rsid w:val="00D73C71"/>
    <w:rsid w:val="00D81E5D"/>
    <w:rsid w:val="00DD7998"/>
    <w:rsid w:val="00DE5B11"/>
    <w:rsid w:val="00DF0088"/>
    <w:rsid w:val="00DF21C4"/>
    <w:rsid w:val="00DF2C60"/>
    <w:rsid w:val="00DF4333"/>
    <w:rsid w:val="00E02055"/>
    <w:rsid w:val="00E11116"/>
    <w:rsid w:val="00E75842"/>
    <w:rsid w:val="00E9155F"/>
    <w:rsid w:val="00E97449"/>
    <w:rsid w:val="00EA5E42"/>
    <w:rsid w:val="00EF34F2"/>
    <w:rsid w:val="00F20D2A"/>
    <w:rsid w:val="00F26BA8"/>
    <w:rsid w:val="00F60DAD"/>
    <w:rsid w:val="00F666E1"/>
    <w:rsid w:val="00F67B7A"/>
    <w:rsid w:val="00F73BA9"/>
    <w:rsid w:val="00F83EDB"/>
    <w:rsid w:val="00FA5C41"/>
    <w:rsid w:val="00FB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C250A4-4CC4-4584-842A-E83FDC96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F7692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F7692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5F7692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link w:val="40"/>
    <w:qFormat/>
    <w:rsid w:val="005F7692"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5F769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F769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5F7692"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B47B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rsid w:val="00B47BDE"/>
  </w:style>
  <w:style w:type="paragraph" w:styleId="a6">
    <w:name w:val="footer"/>
    <w:basedOn w:val="a"/>
    <w:link w:val="a7"/>
    <w:uiPriority w:val="99"/>
    <w:unhideWhenUsed/>
    <w:rsid w:val="00B47B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47BDE"/>
  </w:style>
  <w:style w:type="table" w:customStyle="1" w:styleId="11">
    <w:name w:val="Сетка таблицы1"/>
    <w:basedOn w:val="a1"/>
    <w:next w:val="a3"/>
    <w:uiPriority w:val="39"/>
    <w:rsid w:val="0089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CF6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B3375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76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76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692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F76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F769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F7692"/>
  </w:style>
  <w:style w:type="character" w:styleId="a8">
    <w:name w:val="page number"/>
    <w:basedOn w:val="a0"/>
    <w:rsid w:val="005F7692"/>
  </w:style>
  <w:style w:type="paragraph" w:styleId="a9">
    <w:name w:val="Title"/>
    <w:basedOn w:val="a"/>
    <w:link w:val="aa"/>
    <w:qFormat/>
    <w:rsid w:val="005F7692"/>
    <w:pPr>
      <w:jc w:val="center"/>
    </w:pPr>
    <w:rPr>
      <w:b/>
      <w:sz w:val="28"/>
      <w:lang w:val="uk-UA"/>
    </w:rPr>
  </w:style>
  <w:style w:type="character" w:customStyle="1" w:styleId="aa">
    <w:name w:val="Название Знак"/>
    <w:basedOn w:val="a0"/>
    <w:link w:val="a9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5F7692"/>
    <w:pPr>
      <w:jc w:val="center"/>
    </w:pPr>
    <w:rPr>
      <w:b/>
      <w:sz w:val="24"/>
    </w:rPr>
  </w:style>
  <w:style w:type="character" w:customStyle="1" w:styleId="ac">
    <w:name w:val="Основной текст Знак"/>
    <w:basedOn w:val="a0"/>
    <w:link w:val="ab"/>
    <w:rsid w:val="005F769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5F769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F7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basedOn w:val="a"/>
    <w:rsid w:val="005F7692"/>
    <w:rPr>
      <w:sz w:val="18"/>
      <w:lang w:val="uk-UA"/>
    </w:rPr>
  </w:style>
  <w:style w:type="paragraph" w:customStyle="1" w:styleId="NormalHead">
    <w:name w:val="Normal Head"/>
    <w:basedOn w:val="13"/>
    <w:rsid w:val="005F7692"/>
    <w:pPr>
      <w:spacing w:before="40" w:after="40"/>
      <w:jc w:val="center"/>
    </w:pPr>
    <w:rPr>
      <w:b/>
      <w:sz w:val="14"/>
    </w:rPr>
  </w:style>
  <w:style w:type="paragraph" w:customStyle="1" w:styleId="ad">
    <w:name w:val="Табл текст"/>
    <w:basedOn w:val="a"/>
    <w:rsid w:val="005F7692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6zn">
    <w:name w:val="6zn"/>
    <w:basedOn w:val="a"/>
    <w:rsid w:val="005F7692"/>
    <w:rPr>
      <w:sz w:val="24"/>
      <w:lang w:val="uk-UA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5F7692"/>
    <w:rPr>
      <w:rFonts w:ascii="Verdana" w:hAnsi="Verdana" w:cs="Verdana"/>
      <w:lang w:val="en-US" w:eastAsia="en-US"/>
    </w:rPr>
  </w:style>
  <w:style w:type="paragraph" w:customStyle="1" w:styleId="aaaposletabl">
    <w:name w:val="aaa_posle tabl"/>
    <w:basedOn w:val="a"/>
    <w:rsid w:val="005F7692"/>
    <w:pPr>
      <w:spacing w:before="120"/>
      <w:jc w:val="both"/>
    </w:pPr>
    <w:rPr>
      <w:snapToGrid w:val="0"/>
      <w:color w:val="000000"/>
      <w:sz w:val="16"/>
      <w:lang w:val="uk-UA"/>
    </w:rPr>
  </w:style>
  <w:style w:type="table" w:customStyle="1" w:styleId="41">
    <w:name w:val="Сетка таблицы4"/>
    <w:basedOn w:val="a1"/>
    <w:next w:val="a3"/>
    <w:rsid w:val="005F7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5F7692"/>
    <w:rPr>
      <w:b/>
      <w:bCs/>
    </w:rPr>
  </w:style>
  <w:style w:type="paragraph" w:customStyle="1" w:styleId="24">
    <w:name w:val="Знак Знак2"/>
    <w:basedOn w:val="a"/>
    <w:rsid w:val="005F7692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0">
    <w:name w:val="Знак Знак"/>
    <w:basedOn w:val="a"/>
    <w:rsid w:val="005F7692"/>
    <w:rPr>
      <w:rFonts w:ascii="Verdana" w:hAnsi="Verdana" w:cs="Verdana"/>
      <w:sz w:val="24"/>
      <w:szCs w:val="24"/>
      <w:lang w:val="en-US" w:eastAsia="en-US"/>
    </w:rPr>
  </w:style>
  <w:style w:type="paragraph" w:customStyle="1" w:styleId="9zn">
    <w:name w:val="9zn"/>
    <w:basedOn w:val="a"/>
    <w:rsid w:val="005F7692"/>
    <w:rPr>
      <w:i/>
      <w:sz w:val="22"/>
      <w:lang w:val="uk-UA"/>
    </w:rPr>
  </w:style>
  <w:style w:type="paragraph" w:styleId="af1">
    <w:name w:val="Balloon Text"/>
    <w:basedOn w:val="a"/>
    <w:link w:val="af2"/>
    <w:uiPriority w:val="99"/>
    <w:semiHidden/>
    <w:unhideWhenUsed/>
    <w:rsid w:val="005F769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7692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5">
    <w:name w:val="Обычный2"/>
    <w:basedOn w:val="a"/>
    <w:rsid w:val="00D66119"/>
    <w:rPr>
      <w:sz w:val="18"/>
      <w:lang w:val="uk-UA"/>
    </w:rPr>
  </w:style>
  <w:style w:type="paragraph" w:customStyle="1" w:styleId="Default">
    <w:name w:val="Default"/>
    <w:rsid w:val="00D66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f3">
    <w:name w:val="footnote text"/>
    <w:basedOn w:val="a"/>
    <w:link w:val="af4"/>
    <w:uiPriority w:val="99"/>
    <w:semiHidden/>
    <w:rsid w:val="00666EC0"/>
  </w:style>
  <w:style w:type="character" w:customStyle="1" w:styleId="af4">
    <w:name w:val="Текст сноски Знак"/>
    <w:basedOn w:val="a0"/>
    <w:link w:val="af3"/>
    <w:uiPriority w:val="99"/>
    <w:semiHidden/>
    <w:rsid w:val="00666E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footnote reference"/>
    <w:uiPriority w:val="99"/>
    <w:semiHidden/>
    <w:rsid w:val="00666E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78</cp:revision>
  <dcterms:created xsi:type="dcterms:W3CDTF">2016-08-03T11:27:00Z</dcterms:created>
  <dcterms:modified xsi:type="dcterms:W3CDTF">2016-12-09T08:01:00Z</dcterms:modified>
</cp:coreProperties>
</file>