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FC4" w:rsidRPr="00C90995" w:rsidRDefault="00246FC4" w:rsidP="00246FC4">
      <w:pPr>
        <w:pBdr>
          <w:top w:val="single" w:sz="4" w:space="6" w:color="auto"/>
          <w:left w:val="single" w:sz="4" w:space="7" w:color="auto"/>
          <w:bottom w:val="single" w:sz="4" w:space="5" w:color="auto"/>
          <w:right w:val="single" w:sz="4" w:space="4" w:color="auto"/>
        </w:pBdr>
        <w:shd w:val="clear" w:color="auto" w:fill="F3F3F3"/>
        <w:ind w:firstLine="709"/>
        <w:rPr>
          <w:rFonts w:ascii="Arial" w:hAnsi="Arial" w:cs="Arial"/>
          <w:b/>
          <w:sz w:val="12"/>
          <w:szCs w:val="12"/>
          <w:lang w:val="en-US"/>
        </w:rPr>
      </w:pPr>
    </w:p>
    <w:p w:rsidR="00246FC4" w:rsidRDefault="00A14302" w:rsidP="007B31AC">
      <w:pPr>
        <w:pBdr>
          <w:top w:val="single" w:sz="4" w:space="6" w:color="auto"/>
          <w:left w:val="single" w:sz="4" w:space="7" w:color="auto"/>
          <w:bottom w:val="single" w:sz="4" w:space="5" w:color="auto"/>
          <w:right w:val="single" w:sz="4" w:space="4" w:color="auto"/>
        </w:pBdr>
        <w:shd w:val="clear" w:color="auto" w:fill="F3F3F3"/>
        <w:spacing w:line="220" w:lineRule="exact"/>
        <w:ind w:firstLine="720"/>
        <w:rPr>
          <w:rFonts w:ascii="Arial" w:hAnsi="Arial" w:cs="Arial"/>
          <w:b/>
          <w:sz w:val="24"/>
          <w:szCs w:val="24"/>
          <w:lang w:val="uk-UA"/>
        </w:rPr>
      </w:pPr>
      <w:r w:rsidRPr="00A14302">
        <w:rPr>
          <w:rFonts w:ascii="Arial" w:hAnsi="Arial" w:cs="Arial"/>
          <w:b/>
          <w:caps/>
          <w:sz w:val="24"/>
          <w:szCs w:val="24"/>
          <w:lang w:val="uk-UA"/>
        </w:rPr>
        <w:t>короткі</w:t>
      </w:r>
      <w:r w:rsidR="00246FC4" w:rsidRPr="00A14302">
        <w:rPr>
          <w:rFonts w:ascii="Arial" w:hAnsi="Arial" w:cs="Arial"/>
          <w:b/>
          <w:caps/>
          <w:sz w:val="24"/>
          <w:szCs w:val="24"/>
          <w:lang w:val="uk-UA"/>
        </w:rPr>
        <w:t xml:space="preserve"> </w:t>
      </w:r>
      <w:r w:rsidR="00246FC4">
        <w:rPr>
          <w:rFonts w:ascii="Arial" w:hAnsi="Arial" w:cs="Arial"/>
          <w:b/>
          <w:sz w:val="24"/>
          <w:szCs w:val="24"/>
          <w:lang w:val="uk-UA"/>
        </w:rPr>
        <w:t>ПОЯСНЕННЯ</w:t>
      </w:r>
    </w:p>
    <w:p w:rsidR="00246FC4" w:rsidRPr="00D900D2" w:rsidRDefault="00AA321F" w:rsidP="00246FC4">
      <w:pPr>
        <w:pBdr>
          <w:top w:val="single" w:sz="4" w:space="6" w:color="auto"/>
          <w:left w:val="single" w:sz="4" w:space="7" w:color="auto"/>
          <w:bottom w:val="single" w:sz="4" w:space="5" w:color="auto"/>
          <w:right w:val="single" w:sz="4" w:space="4" w:color="auto"/>
        </w:pBdr>
        <w:shd w:val="clear" w:color="auto" w:fill="F3F3F3"/>
        <w:spacing w:line="240" w:lineRule="exact"/>
        <w:ind w:firstLine="709"/>
        <w:rPr>
          <w:rFonts w:ascii="Arial" w:hAnsi="Arial" w:cs="Arial"/>
          <w:i/>
          <w:sz w:val="24"/>
          <w:szCs w:val="24"/>
          <w:lang w:val="uk-UA"/>
        </w:rPr>
      </w:pPr>
      <w:r>
        <w:rPr>
          <w:rFonts w:ascii="Arial" w:hAnsi="Arial" w:cs="Arial"/>
          <w:i/>
          <w:caps/>
          <w:sz w:val="24"/>
          <w:szCs w:val="24"/>
          <w:lang w:val="en-US"/>
        </w:rPr>
        <w:t>SHORT</w:t>
      </w:r>
      <w:r w:rsidR="00246FC4" w:rsidRPr="00D900D2">
        <w:rPr>
          <w:rFonts w:ascii="Arial" w:hAnsi="Arial" w:cs="Arial"/>
          <w:i/>
          <w:sz w:val="24"/>
          <w:szCs w:val="24"/>
          <w:lang w:val="uk-UA"/>
        </w:rPr>
        <w:t xml:space="preserve"> </w:t>
      </w:r>
      <w:r w:rsidR="00246FC4">
        <w:rPr>
          <w:rFonts w:ascii="Arial" w:hAnsi="Arial" w:cs="Arial"/>
          <w:i/>
          <w:sz w:val="24"/>
          <w:szCs w:val="24"/>
          <w:lang w:val="en-US"/>
        </w:rPr>
        <w:t>EXPLANATIONS</w:t>
      </w:r>
    </w:p>
    <w:p w:rsidR="00246FC4" w:rsidRPr="00D900D2" w:rsidRDefault="00246FC4" w:rsidP="00246FC4">
      <w:pPr>
        <w:pBdr>
          <w:top w:val="single" w:sz="4" w:space="6" w:color="auto"/>
          <w:left w:val="single" w:sz="4" w:space="7" w:color="auto"/>
          <w:bottom w:val="single" w:sz="4" w:space="5" w:color="auto"/>
          <w:right w:val="single" w:sz="4" w:space="4" w:color="auto"/>
        </w:pBdr>
        <w:shd w:val="clear" w:color="auto" w:fill="F3F3F3"/>
        <w:ind w:firstLine="709"/>
        <w:rPr>
          <w:rFonts w:ascii="Arial" w:hAnsi="Arial" w:cs="Arial"/>
          <w:b/>
          <w:sz w:val="12"/>
          <w:szCs w:val="12"/>
          <w:lang w:val="uk-UA"/>
        </w:rPr>
      </w:pPr>
    </w:p>
    <w:p w:rsidR="005D0BD8" w:rsidRPr="0081285D" w:rsidRDefault="005D0BD8" w:rsidP="00B02B99">
      <w:pPr>
        <w:pStyle w:val="a8"/>
        <w:rPr>
          <w:rFonts w:ascii="Arial" w:hAnsi="Arial" w:cs="Arial"/>
          <w:sz w:val="20"/>
        </w:rPr>
      </w:pPr>
    </w:p>
    <w:p w:rsidR="005D0BD8" w:rsidRPr="0081285D" w:rsidRDefault="005D0BD8" w:rsidP="00451714">
      <w:pPr>
        <w:pStyle w:val="a8"/>
        <w:jc w:val="left"/>
        <w:rPr>
          <w:rFonts w:ascii="Arial" w:hAnsi="Arial" w:cs="Arial"/>
          <w:sz w:val="20"/>
        </w:rPr>
        <w:sectPr w:rsidR="005D0BD8" w:rsidRPr="0081285D" w:rsidSect="004C53D6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1906" w:h="16838" w:code="9"/>
          <w:pgMar w:top="1418" w:right="1418" w:bottom="1418" w:left="1418" w:header="720" w:footer="720" w:gutter="0"/>
          <w:pgNumType w:start="379"/>
          <w:cols w:space="720" w:equalWidth="0">
            <w:col w:w="9354" w:space="708"/>
          </w:cols>
          <w:titlePg/>
          <w:docGrid w:linePitch="272"/>
        </w:sectPr>
      </w:pPr>
    </w:p>
    <w:p w:rsidR="00AA321F" w:rsidRPr="00B92B8D" w:rsidRDefault="00AA321F" w:rsidP="00266433">
      <w:pPr>
        <w:pStyle w:val="a8"/>
        <w:spacing w:before="180" w:after="180" w:line="220" w:lineRule="exact"/>
        <w:ind w:right="-74" w:firstLine="454"/>
        <w:jc w:val="both"/>
        <w:rPr>
          <w:rFonts w:ascii="Arial" w:hAnsi="Arial" w:cs="Arial"/>
          <w:b w:val="0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lastRenderedPageBreak/>
        <w:t>О</w:t>
      </w:r>
      <w:r w:rsidR="00AE2596" w:rsidRPr="00D659C0">
        <w:rPr>
          <w:rFonts w:ascii="Arial" w:hAnsi="Arial" w:cs="Arial"/>
          <w:sz w:val="22"/>
          <w:szCs w:val="22"/>
          <w:lang w:eastAsia="uk-UA"/>
        </w:rPr>
        <w:t xml:space="preserve">бсяг реалізованої промислової продукції </w:t>
      </w:r>
      <w:r>
        <w:rPr>
          <w:rFonts w:ascii="Arial" w:hAnsi="Arial" w:cs="Arial"/>
          <w:sz w:val="22"/>
          <w:szCs w:val="22"/>
          <w:lang w:eastAsia="uk-UA"/>
        </w:rPr>
        <w:t xml:space="preserve">(товарів, послуг) </w:t>
      </w:r>
      <w:r w:rsidRPr="0081285D">
        <w:rPr>
          <w:rFonts w:ascii="Arial" w:hAnsi="Arial" w:cs="Arial"/>
          <w:b w:val="0"/>
          <w:sz w:val="22"/>
          <w:szCs w:val="22"/>
          <w:lang w:eastAsia="uk-UA"/>
        </w:rPr>
        <w:t>ви</w:t>
      </w:r>
      <w:r w:rsidRPr="0081285D">
        <w:rPr>
          <w:rFonts w:ascii="Arial" w:hAnsi="Arial" w:cs="Arial"/>
          <w:b w:val="0"/>
          <w:sz w:val="22"/>
          <w:szCs w:val="22"/>
          <w:lang w:eastAsia="uk-UA"/>
        </w:rPr>
        <w:softHyphen/>
        <w:t>зна</w:t>
      </w:r>
      <w:r w:rsidRPr="0081285D">
        <w:rPr>
          <w:rFonts w:ascii="Arial" w:hAnsi="Arial" w:cs="Arial"/>
          <w:b w:val="0"/>
          <w:sz w:val="22"/>
          <w:szCs w:val="22"/>
          <w:lang w:eastAsia="uk-UA"/>
        </w:rPr>
        <w:softHyphen/>
        <w:t>ча</w:t>
      </w:r>
      <w:r>
        <w:rPr>
          <w:rFonts w:ascii="Arial" w:hAnsi="Arial" w:cs="Arial"/>
          <w:b w:val="0"/>
          <w:sz w:val="22"/>
          <w:szCs w:val="22"/>
          <w:lang w:eastAsia="uk-UA"/>
        </w:rPr>
        <w:t>ють</w:t>
      </w:r>
      <w:r w:rsidRPr="0081285D">
        <w:rPr>
          <w:rFonts w:ascii="Arial" w:hAnsi="Arial" w:cs="Arial"/>
          <w:b w:val="0"/>
          <w:sz w:val="22"/>
          <w:szCs w:val="22"/>
          <w:lang w:eastAsia="uk-UA"/>
        </w:rPr>
        <w:t xml:space="preserve"> за 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t>ціною пр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од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ажу ві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дв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а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нт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аж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еної г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от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ової пр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од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у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кції (товарів, послуг), що з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азн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ач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ена в оф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о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р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м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л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ених як підст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ава для ро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зр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ах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у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нків з п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о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купц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ями (замовн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ик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ами) д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ок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ум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е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нтах (уклю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ч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а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>ючи проду</w:t>
      </w:r>
      <w:r w:rsidRPr="00AA321F">
        <w:rPr>
          <w:rFonts w:ascii="Arial" w:hAnsi="Arial" w:cs="Arial"/>
          <w:b w:val="0"/>
          <w:sz w:val="22"/>
          <w:szCs w:val="22"/>
          <w:lang w:eastAsia="uk-UA"/>
        </w:rPr>
        <w:softHyphen/>
        <w:t xml:space="preserve">кцію </w:t>
      </w:r>
      <w:r w:rsidRPr="00B92B8D">
        <w:rPr>
          <w:rFonts w:ascii="Arial" w:hAnsi="Arial" w:cs="Arial"/>
          <w:b w:val="0"/>
          <w:sz w:val="22"/>
          <w:szCs w:val="22"/>
          <w:lang w:eastAsia="uk-UA"/>
        </w:rPr>
        <w:t>(товари, п</w:t>
      </w:r>
      <w:r w:rsidRPr="00B92B8D">
        <w:rPr>
          <w:rFonts w:ascii="Arial" w:hAnsi="Arial" w:cs="Arial"/>
          <w:b w:val="0"/>
          <w:sz w:val="22"/>
          <w:szCs w:val="22"/>
          <w:lang w:eastAsia="uk-UA"/>
        </w:rPr>
        <w:softHyphen/>
        <w:t>осл</w:t>
      </w:r>
      <w:r w:rsidRPr="00B92B8D">
        <w:rPr>
          <w:rFonts w:ascii="Arial" w:hAnsi="Arial" w:cs="Arial"/>
          <w:b w:val="0"/>
          <w:sz w:val="22"/>
          <w:szCs w:val="22"/>
          <w:lang w:eastAsia="uk-UA"/>
        </w:rPr>
        <w:softHyphen/>
        <w:t>уги) за барт</w:t>
      </w:r>
      <w:r w:rsidRPr="00B92B8D">
        <w:rPr>
          <w:rFonts w:ascii="Arial" w:hAnsi="Arial" w:cs="Arial"/>
          <w:b w:val="0"/>
          <w:sz w:val="22"/>
          <w:szCs w:val="22"/>
          <w:lang w:eastAsia="uk-UA"/>
        </w:rPr>
        <w:softHyphen/>
        <w:t>е</w:t>
      </w:r>
      <w:r w:rsidRPr="00B92B8D">
        <w:rPr>
          <w:rFonts w:ascii="Arial" w:hAnsi="Arial" w:cs="Arial"/>
          <w:b w:val="0"/>
          <w:sz w:val="22"/>
          <w:szCs w:val="22"/>
          <w:lang w:eastAsia="uk-UA"/>
        </w:rPr>
        <w:softHyphen/>
        <w:t>рним кон</w:t>
      </w:r>
      <w:r w:rsidRPr="00B92B8D">
        <w:rPr>
          <w:rFonts w:ascii="Arial" w:hAnsi="Arial" w:cs="Arial"/>
          <w:b w:val="0"/>
          <w:sz w:val="22"/>
          <w:szCs w:val="22"/>
          <w:lang w:eastAsia="uk-UA"/>
        </w:rPr>
        <w:softHyphen/>
        <w:t>тр</w:t>
      </w:r>
      <w:r w:rsidRPr="00B92B8D">
        <w:rPr>
          <w:rFonts w:ascii="Arial" w:hAnsi="Arial" w:cs="Arial"/>
          <w:b w:val="0"/>
          <w:sz w:val="22"/>
          <w:szCs w:val="22"/>
          <w:lang w:eastAsia="uk-UA"/>
        </w:rPr>
        <w:softHyphen/>
        <w:t>а</w:t>
      </w:r>
      <w:r w:rsidRPr="00B92B8D">
        <w:rPr>
          <w:rFonts w:ascii="Arial" w:hAnsi="Arial" w:cs="Arial"/>
          <w:b w:val="0"/>
          <w:sz w:val="22"/>
          <w:szCs w:val="22"/>
          <w:lang w:eastAsia="uk-UA"/>
        </w:rPr>
        <w:softHyphen/>
        <w:t xml:space="preserve">ктом), за вирахуванням ПДВ. </w:t>
      </w:r>
    </w:p>
    <w:p w:rsidR="00AE2596" w:rsidRPr="00B07C3A" w:rsidRDefault="00B07C3A" w:rsidP="00266433">
      <w:pPr>
        <w:pStyle w:val="a8"/>
        <w:spacing w:before="180" w:after="180" w:line="220" w:lineRule="exact"/>
        <w:ind w:right="-71" w:firstLine="454"/>
        <w:jc w:val="both"/>
        <w:rPr>
          <w:rFonts w:ascii="Arial" w:hAnsi="Arial" w:cs="Arial"/>
          <w:b w:val="0"/>
          <w:sz w:val="22"/>
          <w:szCs w:val="22"/>
          <w:lang w:eastAsia="uk-UA"/>
        </w:rPr>
      </w:pPr>
      <w:r>
        <w:rPr>
          <w:rFonts w:ascii="Arial" w:hAnsi="Arial" w:cs="Arial"/>
          <w:b w:val="0"/>
          <w:sz w:val="22"/>
          <w:szCs w:val="22"/>
          <w:lang w:eastAsia="uk-UA"/>
        </w:rPr>
        <w:t>Дані щодо обсягів реалізації за видами промислової діяльності, як правило, сформовано за ф</w:t>
      </w:r>
      <w:r w:rsidR="00AE2596" w:rsidRPr="00B07C3A">
        <w:rPr>
          <w:rFonts w:ascii="Arial" w:hAnsi="Arial" w:cs="Arial"/>
          <w:b w:val="0"/>
          <w:sz w:val="22"/>
          <w:szCs w:val="22"/>
          <w:lang w:eastAsia="uk-UA"/>
        </w:rPr>
        <w:t>ункціональни</w:t>
      </w:r>
      <w:r>
        <w:rPr>
          <w:rFonts w:ascii="Arial" w:hAnsi="Arial" w:cs="Arial"/>
          <w:b w:val="0"/>
          <w:sz w:val="22"/>
          <w:szCs w:val="22"/>
          <w:lang w:eastAsia="uk-UA"/>
        </w:rPr>
        <w:t>м</w:t>
      </w:r>
      <w:r w:rsidR="00AE2596" w:rsidRPr="00B07C3A">
        <w:rPr>
          <w:rFonts w:ascii="Arial" w:hAnsi="Arial" w:cs="Arial"/>
          <w:b w:val="0"/>
          <w:sz w:val="22"/>
          <w:szCs w:val="22"/>
          <w:lang w:eastAsia="uk-UA"/>
        </w:rPr>
        <w:t xml:space="preserve"> </w:t>
      </w:r>
      <w:r w:rsidR="005A2DF9">
        <w:rPr>
          <w:rFonts w:ascii="Arial" w:hAnsi="Arial" w:cs="Arial"/>
          <w:b w:val="0"/>
          <w:sz w:val="22"/>
          <w:szCs w:val="22"/>
          <w:lang w:eastAsia="uk-UA"/>
        </w:rPr>
        <w:t>підходом</w:t>
      </w:r>
      <w:r>
        <w:rPr>
          <w:rFonts w:ascii="Arial" w:hAnsi="Arial" w:cs="Arial"/>
          <w:b w:val="0"/>
          <w:sz w:val="22"/>
          <w:szCs w:val="22"/>
          <w:lang w:eastAsia="uk-UA"/>
        </w:rPr>
        <w:t xml:space="preserve"> (</w:t>
      </w:r>
      <w:r w:rsidR="002C0967">
        <w:rPr>
          <w:rFonts w:ascii="Arial" w:hAnsi="Arial" w:cs="Arial"/>
          <w:b w:val="0"/>
          <w:sz w:val="22"/>
          <w:szCs w:val="22"/>
          <w:lang w:eastAsia="uk-UA"/>
        </w:rPr>
        <w:t>по</w:t>
      </w:r>
      <w:r w:rsidR="005A2DF9">
        <w:rPr>
          <w:rFonts w:ascii="Arial" w:hAnsi="Arial" w:cs="Arial"/>
          <w:b w:val="0"/>
          <w:sz w:val="22"/>
          <w:szCs w:val="22"/>
          <w:lang w:eastAsia="uk-UA"/>
        </w:rPr>
        <w:t xml:space="preserve"> </w:t>
      </w:r>
      <w:r>
        <w:rPr>
          <w:rFonts w:ascii="Arial" w:hAnsi="Arial" w:cs="Arial"/>
          <w:b w:val="0"/>
          <w:sz w:val="22"/>
          <w:szCs w:val="22"/>
          <w:lang w:eastAsia="uk-UA"/>
        </w:rPr>
        <w:t>однорідни</w:t>
      </w:r>
      <w:r w:rsidR="002C0967">
        <w:rPr>
          <w:rFonts w:ascii="Arial" w:hAnsi="Arial" w:cs="Arial"/>
          <w:b w:val="0"/>
          <w:sz w:val="22"/>
          <w:szCs w:val="22"/>
          <w:lang w:eastAsia="uk-UA"/>
        </w:rPr>
        <w:t>х</w:t>
      </w:r>
      <w:r w:rsidR="005A2DF9">
        <w:rPr>
          <w:rFonts w:ascii="Arial" w:hAnsi="Arial" w:cs="Arial"/>
          <w:b w:val="0"/>
          <w:sz w:val="22"/>
          <w:szCs w:val="22"/>
          <w:lang w:eastAsia="uk-UA"/>
        </w:rPr>
        <w:t xml:space="preserve"> </w:t>
      </w:r>
      <w:r w:rsidR="002C0967">
        <w:rPr>
          <w:rFonts w:ascii="Arial" w:hAnsi="Arial" w:cs="Arial"/>
          <w:b w:val="0"/>
          <w:sz w:val="22"/>
          <w:szCs w:val="22"/>
          <w:lang w:eastAsia="uk-UA"/>
        </w:rPr>
        <w:t>продуктах</w:t>
      </w:r>
      <w:r>
        <w:rPr>
          <w:rFonts w:ascii="Arial" w:hAnsi="Arial" w:cs="Arial"/>
          <w:b w:val="0"/>
          <w:sz w:val="22"/>
          <w:szCs w:val="22"/>
          <w:lang w:eastAsia="uk-UA"/>
        </w:rPr>
        <w:t>).</w:t>
      </w:r>
    </w:p>
    <w:p w:rsidR="00B07C3A" w:rsidRDefault="00AA321F" w:rsidP="00266433">
      <w:pPr>
        <w:pStyle w:val="a8"/>
        <w:spacing w:before="180" w:after="180" w:line="220" w:lineRule="exact"/>
        <w:ind w:right="-74" w:firstLine="454"/>
        <w:jc w:val="both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Розподіл </w:t>
      </w:r>
      <w:r w:rsidR="00B07C3A">
        <w:rPr>
          <w:rFonts w:ascii="Arial" w:hAnsi="Arial" w:cs="Arial"/>
          <w:sz w:val="22"/>
          <w:szCs w:val="22"/>
          <w:lang w:eastAsia="uk-UA"/>
        </w:rPr>
        <w:t xml:space="preserve">обсягів реалізованої промислової продукції </w:t>
      </w:r>
      <w:r>
        <w:rPr>
          <w:rFonts w:ascii="Arial" w:hAnsi="Arial" w:cs="Arial"/>
          <w:sz w:val="22"/>
          <w:szCs w:val="22"/>
          <w:lang w:eastAsia="uk-UA"/>
        </w:rPr>
        <w:t xml:space="preserve">за </w:t>
      </w:r>
      <w:r w:rsidR="00AE2596" w:rsidRPr="00AE2596">
        <w:rPr>
          <w:rFonts w:ascii="Arial" w:hAnsi="Arial" w:cs="Arial"/>
          <w:sz w:val="22"/>
          <w:szCs w:val="22"/>
          <w:lang w:eastAsia="uk-UA"/>
        </w:rPr>
        <w:t>груп</w:t>
      </w:r>
      <w:r>
        <w:rPr>
          <w:rFonts w:ascii="Arial" w:hAnsi="Arial" w:cs="Arial"/>
          <w:sz w:val="22"/>
          <w:szCs w:val="22"/>
          <w:lang w:eastAsia="uk-UA"/>
        </w:rPr>
        <w:t xml:space="preserve">ами </w:t>
      </w:r>
      <w:r w:rsidRPr="005A2DF9">
        <w:rPr>
          <w:rFonts w:ascii="Arial" w:hAnsi="Arial" w:cs="Arial"/>
          <w:b w:val="0"/>
          <w:sz w:val="22"/>
          <w:szCs w:val="22"/>
          <w:lang w:eastAsia="uk-UA"/>
        </w:rPr>
        <w:t xml:space="preserve">здійснено </w:t>
      </w:r>
      <w:r w:rsidR="00B07C3A" w:rsidRPr="005A2DF9">
        <w:rPr>
          <w:rFonts w:ascii="Arial" w:hAnsi="Arial" w:cs="Arial"/>
          <w:b w:val="0"/>
          <w:sz w:val="22"/>
          <w:szCs w:val="22"/>
          <w:lang w:eastAsia="uk-UA"/>
        </w:rPr>
        <w:t xml:space="preserve">відповідно до </w:t>
      </w:r>
      <w:r w:rsidRPr="005A2DF9">
        <w:rPr>
          <w:rFonts w:ascii="Arial" w:hAnsi="Arial" w:cs="Arial"/>
          <w:b w:val="0"/>
          <w:sz w:val="22"/>
          <w:szCs w:val="22"/>
          <w:lang w:eastAsia="uk-UA"/>
        </w:rPr>
        <w:t>класифікатора основних промислових груп (ОПГ).</w:t>
      </w:r>
      <w:r>
        <w:rPr>
          <w:rFonts w:ascii="Arial" w:hAnsi="Arial" w:cs="Arial"/>
          <w:sz w:val="22"/>
          <w:szCs w:val="22"/>
          <w:lang w:eastAsia="uk-UA"/>
        </w:rPr>
        <w:t xml:space="preserve"> </w:t>
      </w:r>
    </w:p>
    <w:p w:rsidR="00AE2596" w:rsidRPr="005A2DF9" w:rsidRDefault="00AA321F" w:rsidP="00266433">
      <w:pPr>
        <w:pStyle w:val="a8"/>
        <w:spacing w:before="180" w:after="180" w:line="220" w:lineRule="exact"/>
        <w:ind w:right="-71" w:firstLine="454"/>
        <w:jc w:val="both"/>
        <w:rPr>
          <w:rFonts w:ascii="Arial" w:hAnsi="Arial" w:cs="Arial"/>
          <w:b w:val="0"/>
          <w:sz w:val="22"/>
          <w:szCs w:val="22"/>
          <w:lang w:eastAsia="uk-UA"/>
        </w:rPr>
      </w:pPr>
      <w:r w:rsidRPr="005A2DF9">
        <w:rPr>
          <w:rFonts w:ascii="Arial" w:hAnsi="Arial" w:cs="Arial"/>
          <w:b w:val="0"/>
          <w:sz w:val="22"/>
          <w:szCs w:val="22"/>
          <w:lang w:eastAsia="uk-UA"/>
        </w:rPr>
        <w:t>ОПГ</w:t>
      </w:r>
      <w:r w:rsidR="00AE2596" w:rsidRPr="005A2DF9">
        <w:rPr>
          <w:rFonts w:ascii="Arial" w:hAnsi="Arial" w:cs="Arial"/>
          <w:b w:val="0"/>
          <w:sz w:val="22"/>
          <w:szCs w:val="22"/>
          <w:lang w:eastAsia="uk-UA"/>
        </w:rPr>
        <w:t xml:space="preserve"> сформовані на основі призначення продукції: товари проміжного споживання, енергія, інвестиційні товари, споживчі товари тривалого використання, споживчі товари короткострокового використання, шляхом групування видів економічної діяльності у промисловості (секції B, C, D і </w:t>
      </w:r>
      <w:r w:rsidR="005A2DF9">
        <w:rPr>
          <w:rFonts w:ascii="Arial" w:hAnsi="Arial" w:cs="Arial"/>
          <w:b w:val="0"/>
          <w:sz w:val="22"/>
          <w:szCs w:val="22"/>
          <w:lang w:eastAsia="uk-UA"/>
        </w:rPr>
        <w:t xml:space="preserve">розділ </w:t>
      </w:r>
      <w:r w:rsidR="00AE2596" w:rsidRPr="005A2DF9">
        <w:rPr>
          <w:rFonts w:ascii="Arial" w:hAnsi="Arial" w:cs="Arial"/>
          <w:b w:val="0"/>
          <w:sz w:val="22"/>
          <w:szCs w:val="22"/>
          <w:lang w:eastAsia="uk-UA"/>
        </w:rPr>
        <w:t xml:space="preserve">36 </w:t>
      </w:r>
      <w:r w:rsidR="005A2DF9">
        <w:rPr>
          <w:rFonts w:ascii="Arial" w:hAnsi="Arial" w:cs="Arial"/>
          <w:b w:val="0"/>
          <w:sz w:val="22"/>
          <w:szCs w:val="22"/>
          <w:lang w:eastAsia="uk-UA"/>
        </w:rPr>
        <w:t xml:space="preserve">секції Е </w:t>
      </w:r>
      <w:r w:rsidR="00AE2596" w:rsidRPr="005A2DF9">
        <w:rPr>
          <w:rFonts w:ascii="Arial" w:hAnsi="Arial" w:cs="Arial"/>
          <w:b w:val="0"/>
          <w:sz w:val="22"/>
          <w:szCs w:val="22"/>
          <w:lang w:eastAsia="uk-UA"/>
        </w:rPr>
        <w:t xml:space="preserve">за КВЕД). </w:t>
      </w:r>
    </w:p>
    <w:p w:rsidR="00921F1D" w:rsidRDefault="00AA321F" w:rsidP="00266433">
      <w:pPr>
        <w:spacing w:before="180" w:after="180" w:line="220" w:lineRule="exact"/>
        <w:ind w:firstLine="454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8435F5">
        <w:rPr>
          <w:rFonts w:ascii="Arial" w:hAnsi="Arial" w:cs="Arial"/>
          <w:b/>
          <w:sz w:val="22"/>
          <w:szCs w:val="22"/>
          <w:lang w:eastAsia="uk-UA"/>
        </w:rPr>
        <w:t>Індекс промислової продукції</w:t>
      </w:r>
      <w:r w:rsidRPr="001A482B">
        <w:rPr>
          <w:rFonts w:ascii="Arial" w:hAnsi="Arial" w:cs="Arial"/>
          <w:sz w:val="22"/>
          <w:szCs w:val="22"/>
          <w:lang w:eastAsia="uk-UA"/>
        </w:rPr>
        <w:t xml:space="preserve"> розрахову</w:t>
      </w:r>
      <w:r w:rsidR="00921F1D">
        <w:rPr>
          <w:rFonts w:ascii="Arial" w:hAnsi="Arial" w:cs="Arial"/>
          <w:sz w:val="22"/>
          <w:szCs w:val="22"/>
          <w:lang w:val="uk-UA" w:eastAsia="uk-UA"/>
        </w:rPr>
        <w:t>ють</w:t>
      </w:r>
      <w:r w:rsidRPr="001A482B">
        <w:rPr>
          <w:rFonts w:ascii="Arial" w:hAnsi="Arial" w:cs="Arial"/>
          <w:sz w:val="22"/>
          <w:szCs w:val="22"/>
          <w:lang w:eastAsia="uk-UA"/>
        </w:rPr>
        <w:t xml:space="preserve"> відповідно до  міжнародних стандартів</w:t>
      </w:r>
      <w:r w:rsidR="00921F1D">
        <w:rPr>
          <w:rFonts w:ascii="Arial" w:hAnsi="Arial" w:cs="Arial"/>
          <w:sz w:val="22"/>
          <w:szCs w:val="22"/>
          <w:lang w:val="uk-UA" w:eastAsia="uk-UA"/>
        </w:rPr>
        <w:t xml:space="preserve"> у промисловості за Методикою, затвердженою наказом Державного комітету статистики України від 02.08.2005 № 224 (у редакції наказу Державної служби статистики України від 14.03.2013 № 91).</w:t>
      </w:r>
    </w:p>
    <w:p w:rsidR="00AA321F" w:rsidRDefault="00AA321F" w:rsidP="00266433">
      <w:pPr>
        <w:spacing w:before="180" w:after="180" w:line="220" w:lineRule="exact"/>
        <w:ind w:firstLine="454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1A482B">
        <w:rPr>
          <w:rFonts w:ascii="Arial" w:hAnsi="Arial" w:cs="Arial"/>
          <w:sz w:val="22"/>
          <w:szCs w:val="22"/>
          <w:lang w:eastAsia="uk-UA"/>
        </w:rPr>
        <w:t xml:space="preserve">Базовою формулою для розрахунку є індекс фізичного обсягу Ласпейреса. Розрахунок базується на даних про динаміку виробництва за постійним набором товарів-представників (більше тисячі позицій) та структурі  валової доданої вартості за базисний рік. </w:t>
      </w:r>
      <w:r>
        <w:rPr>
          <w:rFonts w:ascii="Arial" w:hAnsi="Arial" w:cs="Arial"/>
          <w:sz w:val="22"/>
          <w:szCs w:val="22"/>
          <w:lang w:val="uk-UA" w:eastAsia="uk-UA"/>
        </w:rPr>
        <w:t>З 2011 року по Україні (з 2013 року за регіонами) індекс розраховано за видами діяльності в секціях "В", "С", "</w:t>
      </w:r>
      <w:r>
        <w:rPr>
          <w:rFonts w:ascii="Arial" w:hAnsi="Arial" w:cs="Arial"/>
          <w:sz w:val="22"/>
          <w:szCs w:val="22"/>
          <w:lang w:val="en-US" w:eastAsia="uk-UA"/>
        </w:rPr>
        <w:t>D</w:t>
      </w:r>
      <w:r>
        <w:rPr>
          <w:rFonts w:ascii="Arial" w:hAnsi="Arial" w:cs="Arial"/>
          <w:sz w:val="22"/>
          <w:szCs w:val="22"/>
          <w:lang w:val="uk-UA" w:eastAsia="uk-UA"/>
        </w:rPr>
        <w:t xml:space="preserve">" (крім групи 35.3) відповідно до КВЕД. </w:t>
      </w:r>
    </w:p>
    <w:p w:rsidR="00AA321F" w:rsidRPr="00655147" w:rsidRDefault="00AA321F" w:rsidP="00266433">
      <w:pPr>
        <w:spacing w:before="180" w:after="180" w:line="220" w:lineRule="exact"/>
        <w:ind w:firstLine="454"/>
        <w:jc w:val="both"/>
        <w:rPr>
          <w:rFonts w:ascii="Arial" w:hAnsi="Arial" w:cs="Arial"/>
          <w:sz w:val="22"/>
          <w:szCs w:val="22"/>
          <w:lang w:val="uk-UA"/>
        </w:rPr>
      </w:pPr>
      <w:r w:rsidRPr="00AA321F">
        <w:rPr>
          <w:rFonts w:ascii="Arial" w:hAnsi="Arial" w:cs="Arial"/>
          <w:sz w:val="22"/>
          <w:szCs w:val="22"/>
          <w:lang w:eastAsia="uk-UA"/>
        </w:rPr>
        <w:t>Індекс</w:t>
      </w:r>
      <w:r w:rsidRPr="00655147">
        <w:rPr>
          <w:rFonts w:ascii="Arial" w:hAnsi="Arial" w:cs="Arial"/>
          <w:sz w:val="22"/>
          <w:szCs w:val="22"/>
          <w:lang w:val="uk-UA"/>
        </w:rPr>
        <w:t xml:space="preserve"> до попереднього року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 w:rsidRPr="00655147">
        <w:rPr>
          <w:rFonts w:ascii="Arial" w:hAnsi="Arial" w:cs="Arial"/>
          <w:sz w:val="22"/>
          <w:szCs w:val="22"/>
          <w:lang w:val="uk-UA"/>
        </w:rPr>
        <w:t>визнача</w:t>
      </w:r>
      <w:r w:rsidRPr="00C15A80">
        <w:rPr>
          <w:rFonts w:ascii="Arial" w:hAnsi="Arial" w:cs="Arial"/>
          <w:sz w:val="22"/>
          <w:szCs w:val="22"/>
          <w:lang w:val="uk-UA"/>
        </w:rPr>
        <w:t>ється</w:t>
      </w:r>
      <w:r w:rsidRPr="00655147"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lang w:val="uk-UA"/>
        </w:rPr>
        <w:t xml:space="preserve">як співвідношення суми </w:t>
      </w:r>
      <w:r w:rsidRPr="00655147">
        <w:rPr>
          <w:rFonts w:ascii="Arial" w:hAnsi="Arial" w:cs="Arial"/>
          <w:sz w:val="22"/>
          <w:szCs w:val="22"/>
          <w:lang w:val="uk-UA"/>
        </w:rPr>
        <w:t>місячн</w:t>
      </w:r>
      <w:r>
        <w:rPr>
          <w:rFonts w:ascii="Arial" w:hAnsi="Arial" w:cs="Arial"/>
          <w:sz w:val="22"/>
          <w:szCs w:val="22"/>
          <w:lang w:val="uk-UA"/>
        </w:rPr>
        <w:t>их</w:t>
      </w:r>
      <w:r w:rsidRPr="00655147">
        <w:rPr>
          <w:rFonts w:ascii="Arial" w:hAnsi="Arial" w:cs="Arial"/>
          <w:sz w:val="22"/>
          <w:szCs w:val="22"/>
          <w:lang w:val="uk-UA"/>
        </w:rPr>
        <w:t xml:space="preserve"> індекс</w:t>
      </w:r>
      <w:r>
        <w:rPr>
          <w:rFonts w:ascii="Arial" w:hAnsi="Arial" w:cs="Arial"/>
          <w:sz w:val="22"/>
          <w:szCs w:val="22"/>
          <w:lang w:val="uk-UA"/>
        </w:rPr>
        <w:t>ів</w:t>
      </w:r>
      <w:r w:rsidRPr="00655147"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lang w:val="uk-UA"/>
        </w:rPr>
        <w:t xml:space="preserve">певного року </w:t>
      </w:r>
      <w:r w:rsidRPr="00655147">
        <w:rPr>
          <w:rFonts w:ascii="Arial" w:hAnsi="Arial" w:cs="Arial"/>
          <w:sz w:val="22"/>
          <w:szCs w:val="22"/>
          <w:lang w:val="uk-UA"/>
        </w:rPr>
        <w:t>до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 w:rsidRPr="00655147">
        <w:rPr>
          <w:rFonts w:ascii="Arial" w:hAnsi="Arial" w:cs="Arial"/>
          <w:sz w:val="22"/>
          <w:szCs w:val="22"/>
          <w:lang w:val="uk-UA"/>
        </w:rPr>
        <w:t>середньомісячного значення базисного року</w:t>
      </w:r>
      <w:r>
        <w:rPr>
          <w:rFonts w:ascii="Arial" w:hAnsi="Arial" w:cs="Arial"/>
          <w:sz w:val="22"/>
          <w:szCs w:val="22"/>
          <w:lang w:val="uk-UA"/>
        </w:rPr>
        <w:t xml:space="preserve"> до відповідної суми попереднього року</w:t>
      </w:r>
      <w:r w:rsidRPr="00655147">
        <w:rPr>
          <w:rFonts w:ascii="Arial" w:hAnsi="Arial" w:cs="Arial"/>
          <w:sz w:val="22"/>
          <w:szCs w:val="22"/>
          <w:lang w:val="uk-UA"/>
        </w:rPr>
        <w:t>.</w:t>
      </w:r>
    </w:p>
    <w:p w:rsidR="00AA321F" w:rsidRDefault="00AA321F" w:rsidP="00266433">
      <w:pPr>
        <w:spacing w:before="180" w:after="180" w:line="220" w:lineRule="exact"/>
        <w:ind w:firstLine="454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AA321F">
        <w:rPr>
          <w:rFonts w:ascii="Arial" w:hAnsi="Arial" w:cs="Arial"/>
          <w:sz w:val="22"/>
          <w:szCs w:val="22"/>
          <w:lang w:eastAsia="uk-UA"/>
        </w:rPr>
        <w:t>За</w:t>
      </w:r>
      <w:r w:rsidRPr="00AA321F">
        <w:rPr>
          <w:rFonts w:ascii="Arial" w:hAnsi="Arial" w:cs="Arial"/>
          <w:sz w:val="22"/>
          <w:szCs w:val="22"/>
          <w:lang w:val="uk-UA" w:eastAsia="uk-UA"/>
        </w:rPr>
        <w:t xml:space="preserve"> </w:t>
      </w:r>
      <w:r>
        <w:rPr>
          <w:rFonts w:ascii="Arial" w:hAnsi="Arial" w:cs="Arial"/>
          <w:sz w:val="22"/>
          <w:szCs w:val="22"/>
          <w:lang w:val="uk-UA" w:eastAsia="uk-UA"/>
        </w:rPr>
        <w:t>тривалі періоди індекси обчисл</w:t>
      </w:r>
      <w:r w:rsidR="00921F1D">
        <w:rPr>
          <w:rFonts w:ascii="Arial" w:hAnsi="Arial" w:cs="Arial"/>
          <w:sz w:val="22"/>
          <w:szCs w:val="22"/>
          <w:lang w:val="uk-UA" w:eastAsia="uk-UA"/>
        </w:rPr>
        <w:t>юють</w:t>
      </w:r>
      <w:r>
        <w:rPr>
          <w:rFonts w:ascii="Arial" w:hAnsi="Arial" w:cs="Arial"/>
          <w:sz w:val="22"/>
          <w:szCs w:val="22"/>
          <w:lang w:val="uk-UA" w:eastAsia="uk-UA"/>
        </w:rPr>
        <w:t xml:space="preserve"> ланцюговим методом, тобто шляхом перемноження між собою індексів до попер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uk-UA" w:eastAsia="uk-UA"/>
        </w:rPr>
        <w:t>еднього року за необхідний період.</w:t>
      </w:r>
    </w:p>
    <w:p w:rsidR="00AE2596" w:rsidRDefault="00AE2596" w:rsidP="00266433">
      <w:pPr>
        <w:suppressAutoHyphens/>
        <w:autoSpaceDE w:val="0"/>
        <w:autoSpaceDN w:val="0"/>
        <w:adjustRightInd w:val="0"/>
        <w:spacing w:before="180" w:after="180" w:line="220" w:lineRule="exact"/>
        <w:ind w:firstLine="454"/>
        <w:jc w:val="both"/>
        <w:rPr>
          <w:rFonts w:ascii="Arial" w:hAnsi="Arial" w:cs="Arial"/>
          <w:sz w:val="22"/>
          <w:szCs w:val="22"/>
          <w:lang w:eastAsia="uk-UA"/>
        </w:rPr>
      </w:pPr>
      <w:r w:rsidRPr="008435F5">
        <w:rPr>
          <w:rFonts w:ascii="Arial" w:hAnsi="Arial" w:cs="Arial"/>
          <w:b/>
          <w:sz w:val="22"/>
          <w:szCs w:val="22"/>
          <w:lang w:eastAsia="uk-UA"/>
        </w:rPr>
        <w:lastRenderedPageBreak/>
        <w:t>Індекс цін виробників промислової</w:t>
      </w:r>
      <w:r w:rsidRPr="001A482B">
        <w:rPr>
          <w:rFonts w:ascii="Arial" w:hAnsi="Arial" w:cs="Arial"/>
          <w:sz w:val="22"/>
          <w:szCs w:val="22"/>
          <w:lang w:eastAsia="uk-UA"/>
        </w:rPr>
        <w:t xml:space="preserve"> </w:t>
      </w:r>
      <w:r w:rsidRPr="00AA321F">
        <w:rPr>
          <w:rFonts w:ascii="Arial" w:hAnsi="Arial" w:cs="Arial"/>
          <w:b/>
          <w:sz w:val="22"/>
          <w:szCs w:val="22"/>
          <w:lang w:eastAsia="uk-UA"/>
        </w:rPr>
        <w:t>продукції</w:t>
      </w:r>
      <w:r w:rsidRPr="001A482B">
        <w:rPr>
          <w:rFonts w:ascii="Arial" w:hAnsi="Arial" w:cs="Arial"/>
          <w:sz w:val="22"/>
          <w:szCs w:val="22"/>
          <w:lang w:eastAsia="uk-UA"/>
        </w:rPr>
        <w:t xml:space="preserve"> є показником зміни </w:t>
      </w:r>
      <w:r w:rsidR="00AA321F">
        <w:rPr>
          <w:rFonts w:ascii="Arial" w:hAnsi="Arial" w:cs="Arial"/>
          <w:sz w:val="22"/>
          <w:szCs w:val="22"/>
          <w:lang w:val="uk-UA" w:eastAsia="uk-UA"/>
        </w:rPr>
        <w:t>в</w:t>
      </w:r>
      <w:r w:rsidR="00AA321F" w:rsidRPr="001A482B">
        <w:rPr>
          <w:rFonts w:ascii="Arial" w:hAnsi="Arial" w:cs="Arial"/>
          <w:sz w:val="22"/>
          <w:szCs w:val="22"/>
          <w:lang w:eastAsia="uk-UA"/>
        </w:rPr>
        <w:t xml:space="preserve"> часі </w:t>
      </w:r>
      <w:r w:rsidRPr="001A482B">
        <w:rPr>
          <w:rFonts w:ascii="Arial" w:hAnsi="Arial" w:cs="Arial"/>
          <w:sz w:val="22"/>
          <w:szCs w:val="22"/>
          <w:lang w:eastAsia="uk-UA"/>
        </w:rPr>
        <w:t xml:space="preserve">цін у сфері промислового виробництва. </w:t>
      </w:r>
    </w:p>
    <w:p w:rsidR="00AA321F" w:rsidRPr="004456E2" w:rsidRDefault="00AA321F" w:rsidP="00266433">
      <w:pPr>
        <w:pStyle w:val="a8"/>
        <w:spacing w:before="200" w:after="200" w:line="220" w:lineRule="exact"/>
        <w:ind w:right="-74" w:firstLine="454"/>
        <w:jc w:val="both"/>
        <w:rPr>
          <w:rFonts w:ascii="Arial" w:hAnsi="Arial" w:cs="Arial"/>
          <w:b w:val="0"/>
          <w:sz w:val="22"/>
          <w:szCs w:val="22"/>
        </w:rPr>
      </w:pPr>
      <w:r w:rsidRPr="008435F5">
        <w:rPr>
          <w:rFonts w:ascii="Arial" w:hAnsi="Arial" w:cs="Arial"/>
          <w:sz w:val="22"/>
          <w:szCs w:val="22"/>
          <w:lang w:eastAsia="uk-UA"/>
        </w:rPr>
        <w:t>Виробництво промислової продукції</w:t>
      </w:r>
      <w:r w:rsidRPr="001A482B">
        <w:rPr>
          <w:rFonts w:ascii="Arial" w:hAnsi="Arial" w:cs="Arial"/>
          <w:sz w:val="22"/>
          <w:szCs w:val="22"/>
          <w:lang w:eastAsia="uk-UA"/>
        </w:rPr>
        <w:t xml:space="preserve"> </w:t>
      </w:r>
      <w:r w:rsidRPr="00AA321F">
        <w:rPr>
          <w:rFonts w:ascii="Arial" w:hAnsi="Arial" w:cs="Arial"/>
          <w:b w:val="0"/>
          <w:sz w:val="22"/>
          <w:szCs w:val="22"/>
          <w:lang w:val="ru-RU" w:eastAsia="uk-UA"/>
        </w:rPr>
        <w:t>показане по валовому випуску, тобто разом із продукцією, призначеною для подальшої переробки в межах одного підприємства. Дані наведено з урахуванням</w:t>
      </w:r>
      <w:r w:rsidRPr="004456E2">
        <w:rPr>
          <w:rFonts w:ascii="Arial" w:hAnsi="Arial" w:cs="Arial"/>
          <w:b w:val="0"/>
          <w:sz w:val="22"/>
          <w:szCs w:val="22"/>
        </w:rPr>
        <w:t xml:space="preserve"> уточнень (отриманих від підприємств). </w:t>
      </w:r>
    </w:p>
    <w:p w:rsidR="00AA321F" w:rsidRPr="0081285D" w:rsidRDefault="00AA321F" w:rsidP="00266433">
      <w:pPr>
        <w:pStyle w:val="a8"/>
        <w:spacing w:before="200" w:after="200" w:line="220" w:lineRule="exact"/>
        <w:ind w:right="-74" w:firstLine="454"/>
        <w:jc w:val="both"/>
        <w:rPr>
          <w:rFonts w:ascii="Arial" w:hAnsi="Arial" w:cs="Arial"/>
          <w:sz w:val="22"/>
          <w:szCs w:val="22"/>
        </w:rPr>
      </w:pPr>
      <w:r w:rsidRPr="0081285D">
        <w:rPr>
          <w:rFonts w:ascii="Arial" w:hAnsi="Arial" w:cs="Arial"/>
          <w:b w:val="0"/>
          <w:sz w:val="22"/>
          <w:szCs w:val="22"/>
        </w:rPr>
        <w:t>Інформація щодо</w:t>
      </w:r>
      <w:r w:rsidRPr="0081285D">
        <w:rPr>
          <w:rFonts w:ascii="Arial" w:hAnsi="Arial" w:cs="Arial"/>
          <w:sz w:val="22"/>
          <w:szCs w:val="22"/>
        </w:rPr>
        <w:t xml:space="preserve"> обсягів експорту та імпорту товарів, давальницької сировини </w:t>
      </w:r>
      <w:r w:rsidRPr="0081285D">
        <w:rPr>
          <w:rFonts w:ascii="Arial" w:hAnsi="Arial" w:cs="Arial"/>
          <w:b w:val="0"/>
          <w:sz w:val="22"/>
          <w:szCs w:val="22"/>
        </w:rPr>
        <w:t>розрахована на підставі даних митних декларацій.</w:t>
      </w:r>
    </w:p>
    <w:p w:rsidR="00AA321F" w:rsidRPr="001A482B" w:rsidRDefault="00AA321F" w:rsidP="00266433">
      <w:pPr>
        <w:suppressAutoHyphens/>
        <w:autoSpaceDE w:val="0"/>
        <w:autoSpaceDN w:val="0"/>
        <w:adjustRightInd w:val="0"/>
        <w:spacing w:before="200" w:after="200" w:line="220" w:lineRule="exact"/>
        <w:ind w:firstLine="454"/>
        <w:jc w:val="both"/>
        <w:rPr>
          <w:rFonts w:ascii="Arial" w:eastAsia="Calibri" w:hAnsi="Arial" w:cs="Arial"/>
          <w:sz w:val="22"/>
          <w:szCs w:val="22"/>
          <w:lang w:val="uk-UA" w:eastAsia="en-US"/>
        </w:rPr>
      </w:pPr>
      <w:r w:rsidRPr="00AA321F">
        <w:rPr>
          <w:rFonts w:ascii="Arial" w:eastAsia="Calibri" w:hAnsi="Arial" w:cs="Arial"/>
          <w:b/>
          <w:bCs/>
          <w:sz w:val="22"/>
          <w:szCs w:val="22"/>
          <w:lang w:val="uk-UA" w:eastAsia="en-US"/>
        </w:rPr>
        <w:t xml:space="preserve">Середньооблікова кількість штатних працівників </w:t>
      </w:r>
      <w:r w:rsidR="000E4B38" w:rsidRPr="000E4B38">
        <w:rPr>
          <w:rFonts w:ascii="Arial" w:eastAsia="Calibri" w:hAnsi="Arial" w:cs="Arial"/>
          <w:bCs/>
          <w:sz w:val="22"/>
          <w:szCs w:val="22"/>
          <w:lang w:val="uk-UA" w:eastAsia="en-US"/>
        </w:rPr>
        <w:t xml:space="preserve">обчислюється </w:t>
      </w:r>
      <w:r w:rsidRPr="001A482B">
        <w:rPr>
          <w:rFonts w:ascii="Arial" w:eastAsia="Calibri" w:hAnsi="Arial" w:cs="Arial"/>
          <w:sz w:val="22"/>
          <w:szCs w:val="22"/>
          <w:lang w:val="uk-UA" w:eastAsia="en-US"/>
        </w:rPr>
        <w:t>шляхом підсумовування середньооблікової кількості працівників за всі місяц</w:t>
      </w:r>
      <w:r w:rsidR="000E4B38">
        <w:rPr>
          <w:rFonts w:ascii="Arial" w:eastAsia="Calibri" w:hAnsi="Arial" w:cs="Arial"/>
          <w:sz w:val="22"/>
          <w:szCs w:val="22"/>
          <w:lang w:val="uk-UA" w:eastAsia="en-US"/>
        </w:rPr>
        <w:t>і</w:t>
      </w:r>
      <w:r w:rsidRPr="001A482B">
        <w:rPr>
          <w:rFonts w:ascii="Arial" w:eastAsia="Calibri" w:hAnsi="Arial" w:cs="Arial"/>
          <w:sz w:val="22"/>
          <w:szCs w:val="22"/>
          <w:lang w:val="uk-UA" w:eastAsia="en-US"/>
        </w:rPr>
        <w:t xml:space="preserve"> роботи, що минули у звітному році, та діленням одержаної суми на кількість місяців (тобто на 12). </w:t>
      </w:r>
    </w:p>
    <w:p w:rsidR="00AA321F" w:rsidRPr="000E4B38" w:rsidRDefault="00AA321F" w:rsidP="00266433">
      <w:pPr>
        <w:suppressAutoHyphens/>
        <w:autoSpaceDE w:val="0"/>
        <w:autoSpaceDN w:val="0"/>
        <w:adjustRightInd w:val="0"/>
        <w:spacing w:before="200" w:after="200" w:line="220" w:lineRule="exact"/>
        <w:ind w:firstLine="454"/>
        <w:jc w:val="both"/>
        <w:rPr>
          <w:rFonts w:ascii="Arial" w:eastAsia="Calibri" w:hAnsi="Arial" w:cs="Arial"/>
          <w:sz w:val="22"/>
          <w:szCs w:val="22"/>
          <w:lang w:val="uk-UA" w:eastAsia="en-US"/>
        </w:rPr>
      </w:pPr>
      <w:r w:rsidRPr="000E4B38">
        <w:rPr>
          <w:rFonts w:ascii="Arial" w:eastAsia="Calibri" w:hAnsi="Arial" w:cs="Arial"/>
          <w:b/>
          <w:bCs/>
          <w:sz w:val="22"/>
          <w:szCs w:val="22"/>
          <w:lang w:val="uk-UA" w:eastAsia="en-US"/>
        </w:rPr>
        <w:t xml:space="preserve">Середньооблікова кількість усього персоналу в еквіваленті повної зайнятості - </w:t>
      </w:r>
      <w:r w:rsidRPr="000E4B38">
        <w:rPr>
          <w:rFonts w:ascii="Arial" w:eastAsia="Calibri" w:hAnsi="Arial" w:cs="Arial"/>
          <w:bCs/>
          <w:sz w:val="22"/>
          <w:szCs w:val="22"/>
          <w:lang w:val="uk-UA" w:eastAsia="en-US"/>
        </w:rPr>
        <w:t>ц</w:t>
      </w:r>
      <w:r w:rsidRPr="000E4B38">
        <w:rPr>
          <w:rFonts w:ascii="Arial" w:eastAsia="Calibri" w:hAnsi="Arial" w:cs="Arial"/>
          <w:sz w:val="22"/>
          <w:szCs w:val="22"/>
          <w:lang w:val="uk-UA" w:eastAsia="en-US"/>
        </w:rPr>
        <w:t xml:space="preserve">е розрахунковий показник, який характеризує умовну кількість працівників (робочих місць) із повним робочим днем, яка необхідна для виконання обсягу робіт (послуг) підприємством. </w:t>
      </w:r>
    </w:p>
    <w:p w:rsidR="00AA321F" w:rsidRPr="00B504A8" w:rsidRDefault="00AA321F" w:rsidP="00266433">
      <w:pPr>
        <w:suppressAutoHyphens/>
        <w:autoSpaceDE w:val="0"/>
        <w:autoSpaceDN w:val="0"/>
        <w:adjustRightInd w:val="0"/>
        <w:spacing w:before="200" w:after="200" w:line="220" w:lineRule="exact"/>
        <w:ind w:firstLine="454"/>
        <w:jc w:val="both"/>
        <w:rPr>
          <w:rFonts w:ascii="Arial" w:eastAsia="Calibri" w:hAnsi="Arial" w:cs="Arial"/>
          <w:sz w:val="22"/>
          <w:szCs w:val="22"/>
          <w:lang w:val="uk-UA" w:eastAsia="en-US"/>
        </w:rPr>
      </w:pPr>
      <w:r w:rsidRPr="00B504A8">
        <w:rPr>
          <w:rFonts w:ascii="Arial" w:eastAsia="Calibri" w:hAnsi="Arial" w:cs="Arial"/>
          <w:sz w:val="22"/>
          <w:szCs w:val="22"/>
          <w:lang w:val="uk-UA" w:eastAsia="en-US"/>
        </w:rPr>
        <w:t xml:space="preserve">Методика розрахунку цього показника базується на перерахунку оплаченого робочого часу всього персоналу (штатні працівники, сумісники, працюючі за цивільно-правовими договорами), який залучався до роботи у звітному періоді й отримував відповідну заробітну плату в умовну кількість працівників, які зайняті виконанням роботи повний робочий день, зважаючи на встановлену його тривалість. </w:t>
      </w:r>
    </w:p>
    <w:p w:rsidR="00D900D2" w:rsidRPr="001A482B" w:rsidRDefault="00D900D2" w:rsidP="00266433">
      <w:pPr>
        <w:suppressAutoHyphens/>
        <w:autoSpaceDE w:val="0"/>
        <w:autoSpaceDN w:val="0"/>
        <w:adjustRightInd w:val="0"/>
        <w:spacing w:before="200" w:after="200" w:line="220" w:lineRule="exact"/>
        <w:ind w:firstLine="4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A482B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Використання робочого часу </w:t>
      </w:r>
      <w:r w:rsidRPr="001A482B">
        <w:rPr>
          <w:rFonts w:ascii="Arial" w:eastAsia="Calibri" w:hAnsi="Arial" w:cs="Arial"/>
          <w:sz w:val="22"/>
          <w:szCs w:val="22"/>
          <w:lang w:eastAsia="en-US"/>
        </w:rPr>
        <w:t>характеризується абсолютними показ</w:t>
      </w:r>
      <w:r w:rsidR="000E4B38">
        <w:rPr>
          <w:rFonts w:ascii="Arial" w:eastAsia="Calibri" w:hAnsi="Arial" w:cs="Arial"/>
          <w:sz w:val="22"/>
          <w:szCs w:val="22"/>
          <w:lang w:val="uk-UA" w:eastAsia="en-US"/>
        </w:rPr>
        <w:t>-</w:t>
      </w:r>
      <w:r w:rsidRPr="001A482B">
        <w:rPr>
          <w:rFonts w:ascii="Arial" w:eastAsia="Calibri" w:hAnsi="Arial" w:cs="Arial"/>
          <w:sz w:val="22"/>
          <w:szCs w:val="22"/>
          <w:lang w:eastAsia="en-US"/>
        </w:rPr>
        <w:t>никами календарного, табельного та максимально можливого фонду робочого часу.</w:t>
      </w:r>
    </w:p>
    <w:p w:rsidR="00D900D2" w:rsidRPr="001A482B" w:rsidRDefault="00D900D2" w:rsidP="00266433">
      <w:pPr>
        <w:suppressAutoHyphens/>
        <w:spacing w:before="200" w:after="200" w:line="220" w:lineRule="exact"/>
        <w:ind w:firstLine="454"/>
        <w:jc w:val="both"/>
        <w:rPr>
          <w:rFonts w:ascii="Arial" w:hAnsi="Arial" w:cs="Arial"/>
          <w:sz w:val="22"/>
          <w:szCs w:val="22"/>
        </w:rPr>
      </w:pPr>
      <w:r w:rsidRPr="001A482B">
        <w:rPr>
          <w:rFonts w:ascii="Arial" w:hAnsi="Arial" w:cs="Arial"/>
          <w:b/>
          <w:bCs/>
          <w:sz w:val="22"/>
          <w:szCs w:val="22"/>
        </w:rPr>
        <w:t xml:space="preserve">Відпрацьований час </w:t>
      </w:r>
      <w:r w:rsidRPr="001A482B">
        <w:rPr>
          <w:rFonts w:ascii="Arial" w:hAnsi="Arial" w:cs="Arial"/>
          <w:bCs/>
          <w:sz w:val="22"/>
          <w:szCs w:val="22"/>
          <w:lang w:val="uk-UA"/>
        </w:rPr>
        <w:t>– це</w:t>
      </w:r>
      <w:r w:rsidRPr="001A482B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1A482B">
        <w:rPr>
          <w:rFonts w:ascii="Arial" w:hAnsi="Arial" w:cs="Arial"/>
          <w:sz w:val="22"/>
          <w:szCs w:val="22"/>
        </w:rPr>
        <w:t>людино-годин</w:t>
      </w:r>
      <w:r w:rsidRPr="001A482B">
        <w:rPr>
          <w:rFonts w:ascii="Arial" w:hAnsi="Arial" w:cs="Arial"/>
          <w:sz w:val="22"/>
          <w:szCs w:val="22"/>
          <w:lang w:val="uk-UA"/>
        </w:rPr>
        <w:t>и</w:t>
      </w:r>
      <w:r w:rsidRPr="001A482B">
        <w:rPr>
          <w:rFonts w:ascii="Arial" w:hAnsi="Arial" w:cs="Arial"/>
          <w:sz w:val="22"/>
          <w:szCs w:val="22"/>
        </w:rPr>
        <w:t xml:space="preserve"> працівників, які фактично працювали на підприємстві, включаючи тих, що були зайняті неповний робочий день (тиждень), виконували надурочну роботу, працювали у вихідні та святкові (неробочі) дні або понад місячну норму (поза графіком), а також людино-години роботи надомників.</w:t>
      </w:r>
    </w:p>
    <w:p w:rsidR="00D900D2" w:rsidRPr="001A482B" w:rsidRDefault="00D900D2" w:rsidP="00DD31D4">
      <w:pPr>
        <w:suppressAutoHyphens/>
        <w:spacing w:before="40" w:after="40" w:line="240" w:lineRule="exact"/>
        <w:ind w:firstLine="454"/>
        <w:jc w:val="both"/>
        <w:rPr>
          <w:rFonts w:ascii="Arial" w:hAnsi="Arial" w:cs="Arial"/>
          <w:sz w:val="22"/>
          <w:szCs w:val="22"/>
        </w:rPr>
      </w:pPr>
      <w:r w:rsidRPr="001A482B">
        <w:rPr>
          <w:rFonts w:ascii="Arial" w:hAnsi="Arial" w:cs="Arial"/>
          <w:b/>
          <w:bCs/>
          <w:sz w:val="22"/>
          <w:szCs w:val="22"/>
        </w:rPr>
        <w:lastRenderedPageBreak/>
        <w:t xml:space="preserve">Невідпрацьований час – </w:t>
      </w:r>
      <w:r w:rsidRPr="001A482B">
        <w:rPr>
          <w:rFonts w:ascii="Arial" w:hAnsi="Arial" w:cs="Arial"/>
          <w:sz w:val="22"/>
          <w:szCs w:val="22"/>
        </w:rPr>
        <w:t>це людино-години, які не були відпрацьовані з поважних або інших причин. До них належать невиходи на роботу працівників у зв’язку з відпустками (щорічними, навчаль</w:t>
      </w:r>
      <w:r w:rsidR="000E4B38">
        <w:rPr>
          <w:rFonts w:ascii="Arial" w:hAnsi="Arial" w:cs="Arial"/>
          <w:sz w:val="22"/>
          <w:szCs w:val="22"/>
          <w:lang w:val="uk-UA"/>
        </w:rPr>
        <w:t>-</w:t>
      </w:r>
      <w:r w:rsidRPr="001A482B">
        <w:rPr>
          <w:rFonts w:ascii="Arial" w:hAnsi="Arial" w:cs="Arial"/>
          <w:sz w:val="22"/>
          <w:szCs w:val="22"/>
        </w:rPr>
        <w:t>ними тощо)</w:t>
      </w:r>
      <w:r w:rsidRPr="001A482B">
        <w:rPr>
          <w:rFonts w:ascii="Arial" w:hAnsi="Arial" w:cs="Arial"/>
          <w:sz w:val="22"/>
          <w:szCs w:val="22"/>
          <w:lang w:val="uk-UA"/>
        </w:rPr>
        <w:t>,</w:t>
      </w:r>
      <w:r w:rsidRPr="001A482B">
        <w:rPr>
          <w:rFonts w:ascii="Arial" w:hAnsi="Arial" w:cs="Arial"/>
          <w:sz w:val="22"/>
          <w:szCs w:val="22"/>
        </w:rPr>
        <w:t xml:space="preserve"> тимчасово</w:t>
      </w:r>
      <w:r w:rsidRPr="001A482B">
        <w:rPr>
          <w:rFonts w:ascii="Arial" w:hAnsi="Arial" w:cs="Arial"/>
          <w:sz w:val="22"/>
          <w:szCs w:val="22"/>
          <w:lang w:val="uk-UA"/>
        </w:rPr>
        <w:t>ю</w:t>
      </w:r>
      <w:r w:rsidRPr="001A482B">
        <w:rPr>
          <w:rFonts w:ascii="Arial" w:hAnsi="Arial" w:cs="Arial"/>
          <w:sz w:val="22"/>
          <w:szCs w:val="22"/>
        </w:rPr>
        <w:t xml:space="preserve"> непрацездатн</w:t>
      </w:r>
      <w:r w:rsidRPr="001A482B">
        <w:rPr>
          <w:rFonts w:ascii="Arial" w:hAnsi="Arial" w:cs="Arial"/>
          <w:sz w:val="22"/>
          <w:szCs w:val="22"/>
          <w:lang w:val="uk-UA"/>
        </w:rPr>
        <w:t>і</w:t>
      </w:r>
      <w:r w:rsidRPr="001A482B">
        <w:rPr>
          <w:rFonts w:ascii="Arial" w:hAnsi="Arial" w:cs="Arial"/>
          <w:sz w:val="22"/>
          <w:szCs w:val="22"/>
        </w:rPr>
        <w:t>ст</w:t>
      </w:r>
      <w:r w:rsidRPr="001A482B">
        <w:rPr>
          <w:rFonts w:ascii="Arial" w:hAnsi="Arial" w:cs="Arial"/>
          <w:sz w:val="22"/>
          <w:szCs w:val="22"/>
          <w:lang w:val="uk-UA"/>
        </w:rPr>
        <w:t xml:space="preserve">ю, </w:t>
      </w:r>
      <w:r w:rsidRPr="001A482B">
        <w:rPr>
          <w:rFonts w:ascii="Arial" w:hAnsi="Arial" w:cs="Arial"/>
          <w:sz w:val="22"/>
          <w:szCs w:val="22"/>
        </w:rPr>
        <w:t xml:space="preserve"> тимчасовим переведенням для роботи на іншому підприємстві, відпустками без збереження заробітної плати (у тому числі на період припинення виконання робіт), переведенням на роботу з неповним робочим днем (тижнем), простоями, прогулами та страйками</w:t>
      </w:r>
      <w:r w:rsidR="000E4B38">
        <w:rPr>
          <w:rFonts w:ascii="Arial" w:hAnsi="Arial" w:cs="Arial"/>
          <w:sz w:val="22"/>
          <w:szCs w:val="22"/>
          <w:lang w:val="uk-UA"/>
        </w:rPr>
        <w:t xml:space="preserve"> </w:t>
      </w:r>
      <w:r w:rsidRPr="001A482B">
        <w:rPr>
          <w:rFonts w:ascii="Arial" w:hAnsi="Arial" w:cs="Arial"/>
          <w:sz w:val="22"/>
          <w:szCs w:val="22"/>
        </w:rPr>
        <w:t>та іншими причин</w:t>
      </w:r>
      <w:r w:rsidRPr="001A482B">
        <w:rPr>
          <w:rFonts w:ascii="Arial" w:hAnsi="Arial" w:cs="Arial"/>
          <w:sz w:val="22"/>
          <w:szCs w:val="22"/>
          <w:lang w:val="uk-UA"/>
        </w:rPr>
        <w:t>ами.</w:t>
      </w:r>
      <w:r w:rsidRPr="001A482B">
        <w:rPr>
          <w:rFonts w:ascii="Arial" w:hAnsi="Arial" w:cs="Arial"/>
          <w:sz w:val="22"/>
          <w:szCs w:val="22"/>
        </w:rPr>
        <w:t xml:space="preserve"> </w:t>
      </w:r>
    </w:p>
    <w:p w:rsidR="00D900D2" w:rsidRPr="00D53E76" w:rsidRDefault="00D900D2" w:rsidP="00DD31D4">
      <w:pPr>
        <w:suppressAutoHyphens/>
        <w:autoSpaceDE w:val="0"/>
        <w:autoSpaceDN w:val="0"/>
        <w:adjustRightInd w:val="0"/>
        <w:spacing w:before="40" w:after="40" w:line="240" w:lineRule="exact"/>
        <w:ind w:firstLine="454"/>
        <w:jc w:val="both"/>
        <w:rPr>
          <w:rFonts w:ascii="Arial" w:eastAsia="Calibri" w:hAnsi="Arial" w:cs="Arial"/>
          <w:sz w:val="22"/>
          <w:szCs w:val="22"/>
          <w:lang w:val="uk-UA" w:eastAsia="en-US"/>
        </w:rPr>
      </w:pPr>
      <w:r w:rsidRPr="001A482B">
        <w:rPr>
          <w:rFonts w:ascii="Arial" w:eastAsia="Calibri" w:hAnsi="Arial" w:cs="Arial"/>
          <w:b/>
          <w:sz w:val="22"/>
          <w:szCs w:val="22"/>
          <w:lang w:eastAsia="en-US"/>
        </w:rPr>
        <w:t xml:space="preserve">Середньомісячна </w:t>
      </w:r>
      <w:r w:rsidRPr="001A482B">
        <w:rPr>
          <w:rFonts w:ascii="Arial" w:eastAsia="Calibri" w:hAnsi="Arial" w:cs="Arial"/>
          <w:sz w:val="22"/>
          <w:szCs w:val="22"/>
          <w:lang w:val="uk-UA" w:eastAsia="en-US"/>
        </w:rPr>
        <w:t>(за рік)</w:t>
      </w:r>
      <w:r w:rsidRPr="001A482B">
        <w:rPr>
          <w:rFonts w:ascii="Arial" w:eastAsia="Calibri" w:hAnsi="Arial" w:cs="Arial"/>
          <w:b/>
          <w:sz w:val="22"/>
          <w:szCs w:val="22"/>
          <w:lang w:val="uk-UA" w:eastAsia="en-US"/>
        </w:rPr>
        <w:t xml:space="preserve"> номінальна </w:t>
      </w:r>
      <w:r w:rsidRPr="001A482B">
        <w:rPr>
          <w:rFonts w:ascii="Arial" w:eastAsia="Calibri" w:hAnsi="Arial" w:cs="Arial"/>
          <w:b/>
          <w:sz w:val="22"/>
          <w:szCs w:val="22"/>
          <w:lang w:eastAsia="en-US"/>
        </w:rPr>
        <w:t>заробітна плата</w:t>
      </w:r>
      <w:r w:rsidRPr="001A482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A482B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штатного працівника </w:t>
      </w:r>
      <w:r w:rsidRPr="001A482B">
        <w:rPr>
          <w:rFonts w:ascii="Arial" w:eastAsia="Calibri" w:hAnsi="Arial" w:cs="Arial"/>
          <w:bCs/>
          <w:sz w:val="22"/>
          <w:szCs w:val="22"/>
          <w:lang w:eastAsia="en-US"/>
        </w:rPr>
        <w:t>визначається</w:t>
      </w:r>
      <w:r w:rsidRPr="001A482B">
        <w:rPr>
          <w:rFonts w:ascii="Arial" w:eastAsia="Calibri" w:hAnsi="Arial" w:cs="Arial"/>
          <w:sz w:val="22"/>
          <w:szCs w:val="22"/>
          <w:lang w:eastAsia="en-US"/>
        </w:rPr>
        <w:t xml:space="preserve"> шляхом ділення </w:t>
      </w:r>
      <w:r w:rsidR="00D53E76">
        <w:rPr>
          <w:rFonts w:ascii="Arial" w:eastAsia="Calibri" w:hAnsi="Arial" w:cs="Arial"/>
          <w:sz w:val="22"/>
          <w:szCs w:val="22"/>
          <w:lang w:val="uk-UA" w:eastAsia="en-US"/>
        </w:rPr>
        <w:t xml:space="preserve">суми </w:t>
      </w:r>
      <w:r w:rsidRPr="001A482B">
        <w:rPr>
          <w:rFonts w:ascii="Arial" w:eastAsia="Calibri" w:hAnsi="Arial" w:cs="Arial"/>
          <w:sz w:val="22"/>
          <w:szCs w:val="22"/>
          <w:lang w:eastAsia="en-US"/>
        </w:rPr>
        <w:t xml:space="preserve">нарахованого фонду оплати праці штатних працівників за </w:t>
      </w:r>
      <w:r w:rsidR="00D53E76">
        <w:rPr>
          <w:rFonts w:ascii="Arial" w:eastAsia="Calibri" w:hAnsi="Arial" w:cs="Arial"/>
          <w:sz w:val="22"/>
          <w:szCs w:val="22"/>
          <w:lang w:val="uk-UA" w:eastAsia="en-US"/>
        </w:rPr>
        <w:t>рік</w:t>
      </w:r>
      <w:r w:rsidRPr="001A482B">
        <w:rPr>
          <w:rFonts w:ascii="Arial" w:eastAsia="Calibri" w:hAnsi="Arial" w:cs="Arial"/>
          <w:sz w:val="22"/>
          <w:szCs w:val="22"/>
          <w:lang w:eastAsia="en-US"/>
        </w:rPr>
        <w:t xml:space="preserve"> на середньо</w:t>
      </w:r>
      <w:r w:rsidR="00D53E76">
        <w:rPr>
          <w:rFonts w:ascii="Arial" w:eastAsia="Calibri" w:hAnsi="Arial" w:cs="Arial"/>
          <w:sz w:val="22"/>
          <w:szCs w:val="22"/>
          <w:lang w:val="uk-UA" w:eastAsia="en-US"/>
        </w:rPr>
        <w:t>річну</w:t>
      </w:r>
      <w:r w:rsidRPr="001A482B">
        <w:rPr>
          <w:rFonts w:ascii="Arial" w:eastAsia="Calibri" w:hAnsi="Arial" w:cs="Arial"/>
          <w:sz w:val="22"/>
          <w:szCs w:val="22"/>
          <w:lang w:eastAsia="en-US"/>
        </w:rPr>
        <w:t xml:space="preserve"> кількість штатних працівників і на </w:t>
      </w:r>
      <w:r w:rsidR="00D53E76">
        <w:rPr>
          <w:rFonts w:ascii="Arial" w:eastAsia="Calibri" w:hAnsi="Arial" w:cs="Arial"/>
          <w:sz w:val="22"/>
          <w:szCs w:val="22"/>
          <w:lang w:val="uk-UA" w:eastAsia="en-US"/>
        </w:rPr>
        <w:t>12 місяців.</w:t>
      </w:r>
    </w:p>
    <w:p w:rsidR="00D900D2" w:rsidRPr="001A482B" w:rsidRDefault="00D900D2" w:rsidP="00DD31D4">
      <w:pPr>
        <w:suppressAutoHyphens/>
        <w:autoSpaceDE w:val="0"/>
        <w:autoSpaceDN w:val="0"/>
        <w:adjustRightInd w:val="0"/>
        <w:spacing w:before="40" w:after="40" w:line="240" w:lineRule="exact"/>
        <w:ind w:firstLine="454"/>
        <w:jc w:val="both"/>
        <w:rPr>
          <w:color w:val="000000"/>
          <w:sz w:val="28"/>
          <w:szCs w:val="28"/>
          <w:lang w:val="uk-UA" w:eastAsia="uk-UA"/>
        </w:rPr>
      </w:pPr>
      <w:r w:rsidRPr="00B4219E">
        <w:rPr>
          <w:rFonts w:ascii="Arial" w:hAnsi="Arial" w:cs="Arial"/>
          <w:b/>
          <w:bCs/>
          <w:sz w:val="22"/>
          <w:szCs w:val="22"/>
          <w:lang w:eastAsia="uk-UA"/>
        </w:rPr>
        <w:t>Капітальні інвестиції</w:t>
      </w:r>
      <w:r w:rsidRPr="00B4219E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B4219E">
        <w:rPr>
          <w:rFonts w:ascii="Arial" w:hAnsi="Arial" w:cs="Arial"/>
          <w:sz w:val="22"/>
          <w:szCs w:val="22"/>
          <w:lang w:eastAsia="uk-UA"/>
        </w:rPr>
        <w:t xml:space="preserve">– інвестиції у придбання </w:t>
      </w:r>
      <w:r w:rsidR="00AA321F">
        <w:rPr>
          <w:rFonts w:ascii="Arial" w:hAnsi="Arial" w:cs="Arial"/>
          <w:sz w:val="22"/>
          <w:szCs w:val="22"/>
          <w:lang w:val="uk-UA" w:eastAsia="uk-UA"/>
        </w:rPr>
        <w:t xml:space="preserve">нових і тих, які були у використанні, </w:t>
      </w:r>
      <w:r w:rsidRPr="00B4219E">
        <w:rPr>
          <w:rFonts w:ascii="Arial" w:hAnsi="Arial" w:cs="Arial"/>
          <w:sz w:val="22"/>
          <w:szCs w:val="22"/>
          <w:lang w:eastAsia="uk-UA"/>
        </w:rPr>
        <w:t>або виготовлення власними силами для власного використання матеріальних і нематеріальних</w:t>
      </w:r>
      <w:r w:rsidRPr="00B4219E">
        <w:rPr>
          <w:color w:val="000000"/>
          <w:sz w:val="28"/>
          <w:szCs w:val="28"/>
          <w:lang w:val="uk-UA" w:eastAsia="uk-UA"/>
        </w:rPr>
        <w:t xml:space="preserve"> </w:t>
      </w:r>
      <w:r w:rsidRPr="00AA321F">
        <w:rPr>
          <w:rFonts w:ascii="Arial" w:hAnsi="Arial" w:cs="Arial"/>
          <w:sz w:val="22"/>
          <w:szCs w:val="22"/>
          <w:lang w:eastAsia="uk-UA"/>
        </w:rPr>
        <w:t>активів</w:t>
      </w:r>
      <w:r w:rsidR="00AA321F">
        <w:rPr>
          <w:rFonts w:ascii="Arial" w:hAnsi="Arial" w:cs="Arial"/>
          <w:sz w:val="22"/>
          <w:szCs w:val="22"/>
          <w:lang w:val="uk-UA" w:eastAsia="uk-UA"/>
        </w:rPr>
        <w:t>, витрати на капітальний ремонт та модернізацію</w:t>
      </w:r>
      <w:r w:rsidRPr="00AA321F">
        <w:rPr>
          <w:rFonts w:ascii="Arial" w:hAnsi="Arial" w:cs="Arial"/>
          <w:sz w:val="22"/>
          <w:szCs w:val="22"/>
          <w:lang w:eastAsia="uk-UA"/>
        </w:rPr>
        <w:t>.</w:t>
      </w:r>
      <w:r w:rsidRPr="00B4219E">
        <w:rPr>
          <w:color w:val="000000"/>
          <w:sz w:val="28"/>
          <w:szCs w:val="28"/>
          <w:lang w:val="uk-UA" w:eastAsia="uk-UA"/>
        </w:rPr>
        <w:t xml:space="preserve"> </w:t>
      </w:r>
      <w:r w:rsidRPr="001A482B">
        <w:rPr>
          <w:color w:val="000000"/>
          <w:sz w:val="28"/>
          <w:szCs w:val="28"/>
          <w:lang w:val="uk-UA" w:eastAsia="uk-UA"/>
        </w:rPr>
        <w:t xml:space="preserve">  </w:t>
      </w:r>
    </w:p>
    <w:p w:rsidR="001A482B" w:rsidRPr="001A482B" w:rsidRDefault="001A482B" w:rsidP="00DD31D4">
      <w:pPr>
        <w:suppressAutoHyphens/>
        <w:spacing w:before="40" w:after="40" w:line="240" w:lineRule="exact"/>
        <w:ind w:firstLine="454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1A482B">
        <w:rPr>
          <w:rFonts w:ascii="Arial" w:hAnsi="Arial" w:cs="Arial"/>
          <w:b/>
          <w:bCs/>
          <w:sz w:val="22"/>
          <w:szCs w:val="22"/>
          <w:lang w:val="uk-UA" w:eastAsia="uk-UA"/>
        </w:rPr>
        <w:t>Основні засоби</w:t>
      </w:r>
      <w:r w:rsidRPr="001A482B">
        <w:rPr>
          <w:rFonts w:ascii="Arial" w:hAnsi="Arial" w:cs="Arial"/>
          <w:sz w:val="22"/>
          <w:szCs w:val="22"/>
          <w:lang w:val="uk-UA" w:eastAsia="uk-UA"/>
        </w:rPr>
        <w:t xml:space="preserve"> – матеріальні активи, які підприємство утримує з метою використання їх у процесі виробництва або постачання товарів, надання послуг, здавання в оренду іншим особам або для здійснення адміністративних і соціально-культурних функцій, очікуваний строк корисного використання (експлуатації) яких більше одного року (або операційного циклу, якщо він довший за рік). </w:t>
      </w:r>
    </w:p>
    <w:p w:rsidR="001A482B" w:rsidRDefault="001A482B" w:rsidP="00DD31D4">
      <w:pPr>
        <w:suppressAutoHyphens/>
        <w:spacing w:before="40" w:after="40" w:line="240" w:lineRule="exact"/>
        <w:ind w:firstLine="454"/>
        <w:jc w:val="both"/>
        <w:rPr>
          <w:rFonts w:ascii="Arial" w:hAnsi="Arial" w:cs="Arial"/>
          <w:sz w:val="22"/>
          <w:szCs w:val="22"/>
          <w:lang w:eastAsia="uk-UA"/>
        </w:rPr>
      </w:pPr>
      <w:r w:rsidRPr="001A482B">
        <w:rPr>
          <w:rFonts w:ascii="Arial" w:hAnsi="Arial" w:cs="Arial"/>
          <w:sz w:val="22"/>
          <w:szCs w:val="22"/>
          <w:lang w:eastAsia="uk-UA"/>
        </w:rPr>
        <w:t>До них належать земельні ділянки, будівлі, споруди та передавальні пристрої, машини й обладнання, транспортні засоби, інструменти</w:t>
      </w:r>
      <w:r w:rsidRPr="001A482B">
        <w:rPr>
          <w:rFonts w:ascii="Arial" w:hAnsi="Arial" w:cs="Arial"/>
          <w:sz w:val="22"/>
          <w:szCs w:val="22"/>
          <w:lang w:val="uk-UA" w:eastAsia="uk-UA"/>
        </w:rPr>
        <w:t xml:space="preserve"> тощо.</w:t>
      </w:r>
      <w:r w:rsidRPr="005239CE">
        <w:rPr>
          <w:rFonts w:ascii="Arial" w:hAnsi="Arial" w:cs="Arial"/>
          <w:sz w:val="22"/>
          <w:szCs w:val="22"/>
          <w:lang w:eastAsia="uk-UA"/>
        </w:rPr>
        <w:t xml:space="preserve"> </w:t>
      </w:r>
    </w:p>
    <w:p w:rsidR="00CA305E" w:rsidRPr="00CA305E" w:rsidRDefault="00CA305E" w:rsidP="00DD31D4">
      <w:pPr>
        <w:suppressAutoHyphens/>
        <w:spacing w:before="40" w:after="40" w:line="240" w:lineRule="exact"/>
        <w:ind w:firstLine="454"/>
        <w:jc w:val="both"/>
        <w:rPr>
          <w:rFonts w:ascii="Arial" w:hAnsi="Arial" w:cs="Arial"/>
          <w:sz w:val="22"/>
          <w:szCs w:val="22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>Дані з основних засобів промисловості сформовані за функціональним підходом.</w:t>
      </w:r>
    </w:p>
    <w:p w:rsidR="00AA321F" w:rsidRPr="001A482B" w:rsidRDefault="00AA321F" w:rsidP="00DD31D4">
      <w:pPr>
        <w:suppressAutoHyphens/>
        <w:spacing w:before="40" w:after="40" w:line="240" w:lineRule="exact"/>
        <w:ind w:firstLine="454"/>
        <w:jc w:val="both"/>
        <w:rPr>
          <w:rFonts w:ascii="Arial" w:hAnsi="Arial" w:cs="Arial"/>
          <w:sz w:val="22"/>
          <w:szCs w:val="22"/>
          <w:lang w:eastAsia="uk-UA"/>
        </w:rPr>
      </w:pPr>
      <w:r w:rsidRPr="001A482B">
        <w:rPr>
          <w:rFonts w:ascii="Arial" w:hAnsi="Arial" w:cs="Arial"/>
          <w:b/>
          <w:sz w:val="22"/>
          <w:szCs w:val="22"/>
          <w:lang w:eastAsia="uk-UA"/>
        </w:rPr>
        <w:t>Інноваційна продукція</w:t>
      </w:r>
      <w:r w:rsidRPr="001A482B">
        <w:rPr>
          <w:b/>
          <w:bCs/>
          <w:i/>
          <w:iCs/>
          <w:sz w:val="28"/>
          <w:szCs w:val="28"/>
        </w:rPr>
        <w:t xml:space="preserve"> </w:t>
      </w:r>
      <w:r w:rsidRPr="001A482B">
        <w:rPr>
          <w:rFonts w:ascii="Arial" w:hAnsi="Arial" w:cs="Arial"/>
          <w:sz w:val="22"/>
          <w:szCs w:val="22"/>
          <w:lang w:eastAsia="uk-UA"/>
        </w:rPr>
        <w:t xml:space="preserve">– це продукція, яка є новою або значно </w:t>
      </w:r>
      <w:r w:rsidR="00B9742A">
        <w:rPr>
          <w:rFonts w:ascii="Arial" w:hAnsi="Arial" w:cs="Arial"/>
          <w:sz w:val="22"/>
          <w:szCs w:val="22"/>
          <w:lang w:val="uk-UA" w:eastAsia="uk-UA"/>
        </w:rPr>
        <w:t>в</w:t>
      </w:r>
      <w:r w:rsidRPr="001A482B">
        <w:rPr>
          <w:rFonts w:ascii="Arial" w:hAnsi="Arial" w:cs="Arial"/>
          <w:sz w:val="22"/>
          <w:szCs w:val="22"/>
          <w:lang w:eastAsia="uk-UA"/>
        </w:rPr>
        <w:t xml:space="preserve">досконаленою в частині її властивостей або способів використання. Новими продуктами вважаються товари та послуги, що суттєво відрізняються своїми характеристиками або призначенням від продуктів, що виготовлялися підприємством (органі-зацією) раніше. Значні покращення можуть здійснюватися за рахунок змін </w:t>
      </w:r>
      <w:r w:rsidR="00B9742A">
        <w:rPr>
          <w:rFonts w:ascii="Arial" w:hAnsi="Arial" w:cs="Arial"/>
          <w:sz w:val="22"/>
          <w:szCs w:val="22"/>
          <w:lang w:val="uk-UA" w:eastAsia="uk-UA"/>
        </w:rPr>
        <w:t>у</w:t>
      </w:r>
      <w:r w:rsidRPr="001A482B">
        <w:rPr>
          <w:rFonts w:ascii="Arial" w:hAnsi="Arial" w:cs="Arial"/>
          <w:sz w:val="22"/>
          <w:szCs w:val="22"/>
          <w:lang w:eastAsia="uk-UA"/>
        </w:rPr>
        <w:t xml:space="preserve"> ма-теріалах, компонентах та</w:t>
      </w:r>
      <w:r w:rsidRPr="001A482B">
        <w:rPr>
          <w:sz w:val="28"/>
          <w:szCs w:val="28"/>
        </w:rPr>
        <w:t xml:space="preserve"> </w:t>
      </w:r>
      <w:r w:rsidRPr="001A482B">
        <w:rPr>
          <w:rFonts w:ascii="Arial" w:hAnsi="Arial" w:cs="Arial"/>
          <w:sz w:val="22"/>
          <w:szCs w:val="22"/>
          <w:lang w:eastAsia="uk-UA"/>
        </w:rPr>
        <w:t xml:space="preserve">інших характеристиках виробів, що покращують їх </w:t>
      </w:r>
      <w:r w:rsidRPr="001A482B">
        <w:rPr>
          <w:rFonts w:ascii="Arial" w:hAnsi="Arial" w:cs="Arial"/>
          <w:sz w:val="22"/>
          <w:szCs w:val="22"/>
          <w:lang w:eastAsia="uk-UA"/>
        </w:rPr>
        <w:lastRenderedPageBreak/>
        <w:t>властивості. Сюди включаються значні вдосконалення в технічних характерис-тиках, компонентах та матеріалах, у вбудованому програмному забезпеченн</w:t>
      </w:r>
      <w:r w:rsidR="00B9742A">
        <w:rPr>
          <w:rFonts w:ascii="Arial" w:hAnsi="Arial" w:cs="Arial"/>
          <w:sz w:val="22"/>
          <w:szCs w:val="22"/>
          <w:lang w:val="uk-UA" w:eastAsia="uk-UA"/>
        </w:rPr>
        <w:t>і</w:t>
      </w:r>
      <w:r w:rsidRPr="001A482B">
        <w:rPr>
          <w:rFonts w:ascii="Arial" w:hAnsi="Arial" w:cs="Arial"/>
          <w:sz w:val="22"/>
          <w:szCs w:val="22"/>
          <w:lang w:eastAsia="uk-UA"/>
        </w:rPr>
        <w:t xml:space="preserve"> та інших функціональних характеристиках.</w:t>
      </w:r>
    </w:p>
    <w:p w:rsidR="00AA321F" w:rsidRDefault="00AA321F" w:rsidP="00DD31D4">
      <w:pPr>
        <w:suppressAutoHyphens/>
        <w:spacing w:before="40" w:after="40" w:line="240" w:lineRule="exact"/>
        <w:ind w:firstLine="454"/>
        <w:jc w:val="both"/>
        <w:rPr>
          <w:rFonts w:ascii="Arial" w:hAnsi="Arial" w:cs="Arial"/>
          <w:bCs/>
          <w:sz w:val="22"/>
          <w:szCs w:val="22"/>
          <w:lang w:val="uk-UA" w:eastAsia="uk-UA"/>
        </w:rPr>
      </w:pPr>
      <w:r w:rsidRPr="001A482B">
        <w:rPr>
          <w:rFonts w:ascii="Arial" w:hAnsi="Arial" w:cs="Arial"/>
          <w:b/>
          <w:bCs/>
          <w:sz w:val="22"/>
          <w:szCs w:val="22"/>
          <w:lang w:val="uk-UA" w:eastAsia="uk-UA"/>
        </w:rPr>
        <w:t>Підприємство (організація)</w:t>
      </w:r>
      <w:r w:rsidRPr="001A482B">
        <w:rPr>
          <w:rFonts w:ascii="Arial" w:hAnsi="Arial" w:cs="Arial"/>
          <w:bCs/>
          <w:sz w:val="22"/>
          <w:szCs w:val="22"/>
          <w:lang w:val="uk-UA" w:eastAsia="uk-UA"/>
        </w:rPr>
        <w:t xml:space="preserve"> вважається </w:t>
      </w:r>
      <w:r w:rsidRPr="001A482B">
        <w:rPr>
          <w:rFonts w:ascii="Arial" w:hAnsi="Arial" w:cs="Arial"/>
          <w:b/>
          <w:bCs/>
          <w:sz w:val="22"/>
          <w:szCs w:val="22"/>
          <w:lang w:val="uk-UA" w:eastAsia="uk-UA"/>
        </w:rPr>
        <w:t>інноваційним</w:t>
      </w:r>
      <w:r w:rsidR="000E4B38">
        <w:rPr>
          <w:rFonts w:ascii="Arial" w:hAnsi="Arial" w:cs="Arial"/>
          <w:bCs/>
          <w:sz w:val="22"/>
          <w:szCs w:val="22"/>
          <w:lang w:val="uk-UA" w:eastAsia="uk-UA"/>
        </w:rPr>
        <w:t>, якщо воно впрова</w:t>
      </w:r>
      <w:r w:rsidRPr="001A482B">
        <w:rPr>
          <w:rFonts w:ascii="Arial" w:hAnsi="Arial" w:cs="Arial"/>
          <w:bCs/>
          <w:sz w:val="22"/>
          <w:szCs w:val="22"/>
          <w:lang w:val="uk-UA" w:eastAsia="uk-UA"/>
        </w:rPr>
        <w:t xml:space="preserve">дило будь-яку інновацію за період часу, визначений при обстеженні. </w:t>
      </w:r>
    </w:p>
    <w:p w:rsidR="00AA321F" w:rsidRPr="00D900D2" w:rsidRDefault="00AA321F" w:rsidP="00DD31D4">
      <w:pPr>
        <w:suppressAutoHyphens/>
        <w:spacing w:before="40" w:after="40" w:line="240" w:lineRule="exact"/>
        <w:ind w:firstLine="454"/>
        <w:jc w:val="both"/>
        <w:rPr>
          <w:rFonts w:ascii="Arial" w:hAnsi="Arial" w:cs="Arial"/>
          <w:bCs/>
          <w:sz w:val="22"/>
          <w:szCs w:val="22"/>
          <w:lang w:val="uk-UA" w:eastAsia="uk-UA"/>
        </w:rPr>
      </w:pPr>
      <w:r w:rsidRPr="001A482B">
        <w:rPr>
          <w:rFonts w:ascii="Arial" w:hAnsi="Arial" w:cs="Arial"/>
          <w:b/>
          <w:bCs/>
          <w:sz w:val="22"/>
          <w:szCs w:val="22"/>
          <w:lang w:val="uk-UA" w:eastAsia="uk-UA"/>
        </w:rPr>
        <w:t>Технологічні інновації</w:t>
      </w:r>
      <w:r w:rsidRPr="001A482B">
        <w:rPr>
          <w:rFonts w:ascii="Arial" w:hAnsi="Arial" w:cs="Arial"/>
          <w:bCs/>
          <w:sz w:val="22"/>
          <w:szCs w:val="22"/>
          <w:lang w:val="uk-UA" w:eastAsia="uk-UA"/>
        </w:rPr>
        <w:t xml:space="preserve"> - це діяльність підприємства (організації), пов’язана із розробкою та впровадженням як технологічно нових, так і значно технологічно удосконалених продуктів (продуктові інновації) і процесів (процесові інновації).</w:t>
      </w:r>
      <w:r w:rsidRPr="00D900D2">
        <w:rPr>
          <w:rFonts w:ascii="Arial" w:hAnsi="Arial" w:cs="Arial"/>
          <w:bCs/>
          <w:sz w:val="22"/>
          <w:szCs w:val="22"/>
          <w:lang w:val="uk-UA" w:eastAsia="uk-UA"/>
        </w:rPr>
        <w:t xml:space="preserve"> </w:t>
      </w:r>
    </w:p>
    <w:p w:rsidR="00D900D2" w:rsidRPr="001A482B" w:rsidRDefault="00D900D2" w:rsidP="00DD31D4">
      <w:pPr>
        <w:suppressAutoHyphens/>
        <w:spacing w:before="40" w:after="40" w:line="240" w:lineRule="exact"/>
        <w:ind w:firstLine="454"/>
        <w:jc w:val="both"/>
        <w:rPr>
          <w:sz w:val="28"/>
          <w:szCs w:val="28"/>
          <w:lang w:val="uk-UA"/>
        </w:rPr>
      </w:pPr>
      <w:r w:rsidRPr="001A482B">
        <w:rPr>
          <w:rFonts w:ascii="Arial" w:hAnsi="Arial" w:cs="Arial"/>
          <w:sz w:val="22"/>
          <w:szCs w:val="22"/>
          <w:lang w:val="uk-UA"/>
        </w:rPr>
        <w:t xml:space="preserve">Загальна сума </w:t>
      </w:r>
      <w:r w:rsidRPr="001A482B">
        <w:rPr>
          <w:rFonts w:ascii="Arial" w:hAnsi="Arial" w:cs="Arial"/>
          <w:b/>
          <w:sz w:val="22"/>
          <w:szCs w:val="22"/>
          <w:lang w:val="uk-UA"/>
        </w:rPr>
        <w:t>витрат на технологічні інновації</w:t>
      </w:r>
      <w:r w:rsidRPr="001A482B">
        <w:rPr>
          <w:rFonts w:ascii="Arial" w:hAnsi="Arial" w:cs="Arial"/>
          <w:sz w:val="22"/>
          <w:szCs w:val="22"/>
          <w:lang w:val="uk-UA"/>
        </w:rPr>
        <w:t xml:space="preserve"> складається з поточних і капітальних витрат, направлених на: виконання досліджень і розробок; придбання нових технологій, виробниче проектування, інші види підготовки виробництва для випуску нових продуктів, </w:t>
      </w:r>
      <w:r w:rsidR="00B9742A">
        <w:rPr>
          <w:rFonts w:ascii="Arial" w:hAnsi="Arial" w:cs="Arial"/>
          <w:sz w:val="22"/>
          <w:szCs w:val="22"/>
          <w:lang w:val="uk-UA"/>
        </w:rPr>
        <w:t>у</w:t>
      </w:r>
      <w:r w:rsidRPr="001A482B">
        <w:rPr>
          <w:rFonts w:ascii="Arial" w:hAnsi="Arial" w:cs="Arial"/>
          <w:sz w:val="22"/>
          <w:szCs w:val="22"/>
          <w:lang w:val="uk-UA"/>
        </w:rPr>
        <w:t xml:space="preserve">провадження нових методів їхнього виробництва; придбання машин, обладнання, установок, інших основних засобів, пов’язаних із упровадженням інновацій; маркетинг, рекламу та інші витрати. </w:t>
      </w:r>
      <w:r w:rsidR="00CD2F27">
        <w:rPr>
          <w:rFonts w:ascii="Arial" w:hAnsi="Arial" w:cs="Arial"/>
          <w:sz w:val="22"/>
          <w:szCs w:val="22"/>
          <w:lang w:val="uk-UA"/>
        </w:rPr>
        <w:t>Д</w:t>
      </w:r>
      <w:r w:rsidRPr="001A482B">
        <w:rPr>
          <w:rFonts w:ascii="Arial" w:hAnsi="Arial" w:cs="Arial"/>
          <w:sz w:val="22"/>
          <w:szCs w:val="22"/>
          <w:lang w:val="uk-UA"/>
        </w:rPr>
        <w:t xml:space="preserve">о загальної суми </w:t>
      </w:r>
      <w:r w:rsidRPr="001A482B">
        <w:rPr>
          <w:rFonts w:ascii="Arial" w:hAnsi="Arial" w:cs="Arial"/>
          <w:b/>
          <w:sz w:val="22"/>
          <w:szCs w:val="22"/>
          <w:lang w:val="uk-UA"/>
        </w:rPr>
        <w:t>витрат на інновації</w:t>
      </w:r>
      <w:r w:rsidRPr="001A482B">
        <w:rPr>
          <w:rFonts w:ascii="Arial" w:hAnsi="Arial" w:cs="Arial"/>
          <w:sz w:val="22"/>
          <w:szCs w:val="22"/>
          <w:lang w:val="uk-UA"/>
        </w:rPr>
        <w:t xml:space="preserve"> віднесено витрати</w:t>
      </w:r>
      <w:r w:rsidR="00B9742A">
        <w:rPr>
          <w:rFonts w:ascii="Arial" w:hAnsi="Arial" w:cs="Arial"/>
          <w:sz w:val="22"/>
          <w:szCs w:val="22"/>
          <w:lang w:val="uk-UA"/>
        </w:rPr>
        <w:t>,</w:t>
      </w:r>
      <w:r w:rsidRPr="001A482B">
        <w:rPr>
          <w:rFonts w:ascii="Arial" w:hAnsi="Arial" w:cs="Arial"/>
          <w:sz w:val="22"/>
          <w:szCs w:val="22"/>
          <w:lang w:val="uk-UA"/>
        </w:rPr>
        <w:t xml:space="preserve"> здійснили підприємства (організації) на впровадження інновацій як нових для підприємства (організації)</w:t>
      </w:r>
      <w:r w:rsidR="00B9742A">
        <w:rPr>
          <w:rFonts w:ascii="Arial" w:hAnsi="Arial" w:cs="Arial"/>
          <w:sz w:val="22"/>
          <w:szCs w:val="22"/>
          <w:lang w:val="uk-UA"/>
        </w:rPr>
        <w:t>,</w:t>
      </w:r>
      <w:r w:rsidRPr="001A482B">
        <w:rPr>
          <w:rFonts w:ascii="Arial" w:hAnsi="Arial" w:cs="Arial"/>
          <w:sz w:val="22"/>
          <w:szCs w:val="22"/>
          <w:lang w:val="uk-UA"/>
        </w:rPr>
        <w:t xml:space="preserve"> так і нових для ринку, у тому числі на: внутрішні науково-дослідні роботи</w:t>
      </w:r>
      <w:r w:rsidRPr="001A482B">
        <w:rPr>
          <w:sz w:val="28"/>
          <w:szCs w:val="28"/>
          <w:lang w:val="uk-UA"/>
        </w:rPr>
        <w:t xml:space="preserve"> </w:t>
      </w:r>
      <w:r w:rsidRPr="001A482B">
        <w:rPr>
          <w:rFonts w:ascii="Arial" w:hAnsi="Arial" w:cs="Arial"/>
          <w:sz w:val="22"/>
          <w:szCs w:val="22"/>
          <w:lang w:val="uk-UA"/>
        </w:rPr>
        <w:t>(НДР), придбання результатів НДР, машин, обладнання та програмного забезпечення, інших зовнішніх знань та інші витрати.</w:t>
      </w:r>
      <w:r w:rsidRPr="001A482B">
        <w:rPr>
          <w:sz w:val="28"/>
          <w:szCs w:val="28"/>
          <w:lang w:val="uk-UA"/>
        </w:rPr>
        <w:t xml:space="preserve"> </w:t>
      </w:r>
    </w:p>
    <w:p w:rsidR="00266433" w:rsidRDefault="004B32E8" w:rsidP="0024791C">
      <w:pPr>
        <w:suppressAutoHyphens/>
        <w:spacing w:before="40" w:after="40" w:line="240" w:lineRule="exact"/>
        <w:ind w:firstLine="454"/>
        <w:jc w:val="both"/>
        <w:rPr>
          <w:rFonts w:ascii="Arial" w:hAnsi="Arial" w:cs="Arial"/>
          <w:sz w:val="22"/>
          <w:szCs w:val="22"/>
          <w:lang w:val="uk-UA"/>
        </w:rPr>
      </w:pPr>
      <w:bookmarkStart w:id="1" w:name="OLE_LINK3"/>
      <w:bookmarkStart w:id="2" w:name="OLE_LINK4"/>
      <w:r w:rsidRPr="0024791C">
        <w:rPr>
          <w:rFonts w:ascii="Arial" w:hAnsi="Arial" w:cs="Arial"/>
          <w:sz w:val="22"/>
          <w:szCs w:val="22"/>
          <w:lang w:eastAsia="uk-UA"/>
        </w:rPr>
        <w:t>Статистичні</w:t>
      </w:r>
      <w:r>
        <w:rPr>
          <w:rFonts w:ascii="Arial" w:hAnsi="Arial" w:cs="Arial"/>
          <w:noProof/>
          <w:sz w:val="22"/>
          <w:szCs w:val="22"/>
          <w:lang w:val="uk-UA"/>
        </w:rPr>
        <w:t xml:space="preserve"> дані щодо основних показників діяльності підприємств </w:t>
      </w:r>
      <w:r>
        <w:rPr>
          <w:rFonts w:ascii="Arial" w:hAnsi="Arial" w:cs="Arial"/>
          <w:sz w:val="22"/>
          <w:szCs w:val="22"/>
          <w:lang w:val="uk-UA"/>
        </w:rPr>
        <w:t>промисловості</w:t>
      </w:r>
      <w:r>
        <w:rPr>
          <w:rFonts w:ascii="Arial" w:hAnsi="Arial" w:cs="Arial"/>
          <w:noProof/>
          <w:sz w:val="22"/>
          <w:szCs w:val="22"/>
          <w:lang w:val="uk-UA"/>
        </w:rPr>
        <w:t xml:space="preserve"> за їх розмірами розраховано за критеріями великих, середніх та малих підприємств, визначеними у </w:t>
      </w:r>
      <w:r w:rsidR="00266433">
        <w:rPr>
          <w:rFonts w:ascii="Arial" w:hAnsi="Arial" w:cs="Arial"/>
          <w:sz w:val="22"/>
          <w:szCs w:val="22"/>
          <w:lang w:val="uk-UA"/>
        </w:rPr>
        <w:t>Господарсько</w:t>
      </w:r>
      <w:r>
        <w:rPr>
          <w:rFonts w:ascii="Arial" w:hAnsi="Arial" w:cs="Arial"/>
          <w:sz w:val="22"/>
          <w:szCs w:val="22"/>
          <w:lang w:val="uk-UA"/>
        </w:rPr>
        <w:t>му</w:t>
      </w:r>
      <w:r w:rsidR="00266433">
        <w:rPr>
          <w:rFonts w:ascii="Arial" w:hAnsi="Arial" w:cs="Arial"/>
          <w:sz w:val="22"/>
          <w:szCs w:val="22"/>
          <w:lang w:val="uk-UA"/>
        </w:rPr>
        <w:t xml:space="preserve"> кодексу України в редакції від 22.03.2012</w:t>
      </w:r>
      <w:r>
        <w:rPr>
          <w:rFonts w:ascii="Arial" w:hAnsi="Arial" w:cs="Arial"/>
          <w:sz w:val="22"/>
          <w:szCs w:val="22"/>
          <w:lang w:val="uk-UA"/>
        </w:rPr>
        <w:t>, а саме</w:t>
      </w:r>
      <w:r w:rsidR="00266433">
        <w:rPr>
          <w:rFonts w:ascii="Arial" w:hAnsi="Arial" w:cs="Arial"/>
          <w:sz w:val="22"/>
          <w:szCs w:val="22"/>
          <w:lang w:val="uk-UA"/>
        </w:rPr>
        <w:t>:</w:t>
      </w:r>
    </w:p>
    <w:p w:rsidR="008435F5" w:rsidRPr="00D900D2" w:rsidRDefault="003D4C56" w:rsidP="00DD31D4">
      <w:pPr>
        <w:suppressAutoHyphens/>
        <w:spacing w:before="40" w:after="40" w:line="240" w:lineRule="exact"/>
        <w:ind w:firstLine="454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t>м</w:t>
      </w:r>
      <w:r w:rsidR="00266433">
        <w:rPr>
          <w:rFonts w:ascii="Arial" w:hAnsi="Arial" w:cs="Arial"/>
          <w:b/>
          <w:sz w:val="22"/>
          <w:szCs w:val="22"/>
          <w:lang w:val="uk-UA"/>
        </w:rPr>
        <w:t xml:space="preserve">алі підприємства </w:t>
      </w:r>
      <w:r w:rsidR="008435F5" w:rsidRPr="00D900D2">
        <w:rPr>
          <w:rFonts w:ascii="Arial" w:hAnsi="Arial" w:cs="Arial"/>
          <w:color w:val="000000"/>
          <w:sz w:val="22"/>
          <w:szCs w:val="22"/>
          <w:lang w:val="uk-UA" w:eastAsia="uk-UA"/>
        </w:rPr>
        <w:t>–</w:t>
      </w:r>
      <w:r w:rsidR="00B9742A">
        <w:rPr>
          <w:rFonts w:ascii="Arial" w:hAnsi="Arial" w:cs="Arial"/>
          <w:color w:val="000000"/>
          <w:sz w:val="22"/>
          <w:szCs w:val="22"/>
          <w:lang w:val="uk-UA" w:eastAsia="uk-UA"/>
        </w:rPr>
        <w:t xml:space="preserve"> </w:t>
      </w:r>
      <w:r w:rsidR="008435F5" w:rsidRPr="00D900D2">
        <w:rPr>
          <w:rFonts w:ascii="Arial" w:hAnsi="Arial" w:cs="Arial"/>
          <w:sz w:val="22"/>
          <w:szCs w:val="22"/>
          <w:lang w:val="uk-UA"/>
        </w:rPr>
        <w:t>юридичні особи - суб’єкти господарювання будь-якої організаційно-правової форми та форми власності, у яких середня кількість працівників за звітний період (календарний рік) не перевищує 50 осіб та річний дохід від будь-якої діяльності не перевищує суму, еквівалентну 10 мільйонам євро, визначену за середньорічним курсом Національного банку України.</w:t>
      </w:r>
    </w:p>
    <w:p w:rsidR="005239CE" w:rsidRDefault="003D4C56" w:rsidP="003D5161">
      <w:pPr>
        <w:suppressAutoHyphens/>
        <w:spacing w:before="180" w:after="180" w:line="240" w:lineRule="exact"/>
        <w:ind w:firstLine="454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lastRenderedPageBreak/>
        <w:t>в</w:t>
      </w:r>
      <w:r w:rsidR="00266433">
        <w:rPr>
          <w:rFonts w:ascii="Arial" w:hAnsi="Arial" w:cs="Arial"/>
          <w:b/>
          <w:sz w:val="22"/>
          <w:szCs w:val="22"/>
          <w:lang w:val="uk-UA"/>
        </w:rPr>
        <w:t xml:space="preserve">еликі підприємства – </w:t>
      </w:r>
      <w:r w:rsidR="005239CE" w:rsidRPr="008435F5">
        <w:rPr>
          <w:rFonts w:ascii="Arial" w:hAnsi="Arial" w:cs="Arial"/>
          <w:sz w:val="22"/>
          <w:szCs w:val="22"/>
          <w:lang w:val="uk-UA"/>
        </w:rPr>
        <w:t>юридичні особи - суб’єкти господарювання будь-якої організаційно-правової форми та форми власності, у яких середня кількість працівників за звітний період (календарний рік) перевищує 250 осіб та річний дохід від будь-якої діяльності перевищує суму, еквівалентну 50 мільйонам євро, визначену за середньорічним курсом Національного банку України.</w:t>
      </w:r>
    </w:p>
    <w:p w:rsidR="008435F5" w:rsidRDefault="003D4C56" w:rsidP="003D5161">
      <w:pPr>
        <w:suppressAutoHyphens/>
        <w:spacing w:before="180" w:after="180" w:line="240" w:lineRule="exact"/>
        <w:ind w:firstLine="454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t>с</w:t>
      </w:r>
      <w:r w:rsidR="00266433">
        <w:rPr>
          <w:rFonts w:ascii="Arial" w:hAnsi="Arial" w:cs="Arial"/>
          <w:b/>
          <w:sz w:val="22"/>
          <w:szCs w:val="22"/>
          <w:lang w:val="uk-UA"/>
        </w:rPr>
        <w:t xml:space="preserve">ередні підприємства </w:t>
      </w:r>
      <w:r w:rsidR="004B32E8">
        <w:rPr>
          <w:rFonts w:ascii="Arial" w:hAnsi="Arial" w:cs="Arial"/>
          <w:b/>
          <w:sz w:val="22"/>
          <w:szCs w:val="22"/>
          <w:lang w:val="uk-UA"/>
        </w:rPr>
        <w:t xml:space="preserve">– </w:t>
      </w:r>
      <w:r w:rsidR="008435F5">
        <w:rPr>
          <w:rFonts w:ascii="Arial" w:hAnsi="Arial" w:cs="Arial"/>
          <w:sz w:val="22"/>
          <w:szCs w:val="22"/>
          <w:lang w:val="uk-UA"/>
        </w:rPr>
        <w:t xml:space="preserve">інші </w:t>
      </w:r>
      <w:r w:rsidR="008435F5" w:rsidRPr="008435F5">
        <w:rPr>
          <w:rFonts w:ascii="Arial" w:hAnsi="Arial" w:cs="Arial"/>
          <w:sz w:val="22"/>
          <w:szCs w:val="22"/>
          <w:lang w:val="uk-UA"/>
        </w:rPr>
        <w:t xml:space="preserve"> суб’єкти господарювання</w:t>
      </w:r>
      <w:r w:rsidR="008435F5">
        <w:rPr>
          <w:rFonts w:ascii="Arial" w:hAnsi="Arial" w:cs="Arial"/>
          <w:sz w:val="22"/>
          <w:szCs w:val="22"/>
          <w:lang w:val="uk-UA"/>
        </w:rPr>
        <w:t>.</w:t>
      </w:r>
    </w:p>
    <w:p w:rsidR="001A482B" w:rsidRPr="005239CE" w:rsidRDefault="001A482B" w:rsidP="003D5161">
      <w:pPr>
        <w:keepLines/>
        <w:suppressAutoHyphens/>
        <w:spacing w:before="180" w:after="180" w:line="240" w:lineRule="exact"/>
        <w:ind w:firstLine="454"/>
        <w:jc w:val="both"/>
        <w:rPr>
          <w:rFonts w:ascii="Arial" w:hAnsi="Arial" w:cs="Arial"/>
          <w:noProof/>
          <w:sz w:val="22"/>
          <w:szCs w:val="22"/>
        </w:rPr>
      </w:pPr>
      <w:r w:rsidRPr="005239CE">
        <w:rPr>
          <w:rFonts w:ascii="Arial" w:hAnsi="Arial" w:cs="Arial"/>
          <w:b/>
          <w:noProof/>
          <w:sz w:val="22"/>
          <w:szCs w:val="22"/>
        </w:rPr>
        <w:t>Кількість найманих працівників</w:t>
      </w:r>
      <w:r w:rsidRPr="005239CE">
        <w:rPr>
          <w:rFonts w:ascii="Arial" w:hAnsi="Arial" w:cs="Arial"/>
          <w:noProof/>
          <w:sz w:val="22"/>
          <w:szCs w:val="22"/>
        </w:rPr>
        <w:t xml:space="preserve"> визначається з урахуванням штатних і позаштатних (працюючих за договорами та за сумісництвом) працівників підприємства.</w:t>
      </w:r>
    </w:p>
    <w:p w:rsidR="001A482B" w:rsidRDefault="001A482B" w:rsidP="003D5161">
      <w:pPr>
        <w:keepLines/>
        <w:suppressAutoHyphens/>
        <w:spacing w:before="180" w:after="180" w:line="240" w:lineRule="exact"/>
        <w:ind w:firstLine="454"/>
        <w:jc w:val="both"/>
        <w:rPr>
          <w:rFonts w:ascii="Arial" w:hAnsi="Arial" w:cs="Arial"/>
          <w:sz w:val="22"/>
          <w:szCs w:val="22"/>
        </w:rPr>
      </w:pPr>
      <w:r w:rsidRPr="005239CE">
        <w:rPr>
          <w:rFonts w:ascii="Arial" w:hAnsi="Arial" w:cs="Arial"/>
          <w:b/>
          <w:sz w:val="22"/>
          <w:szCs w:val="22"/>
        </w:rPr>
        <w:t xml:space="preserve">Витрати на оплату праці </w:t>
      </w:r>
      <w:r w:rsidRPr="005239CE">
        <w:rPr>
          <w:rFonts w:ascii="Arial" w:hAnsi="Arial" w:cs="Arial"/>
          <w:sz w:val="22"/>
          <w:szCs w:val="22"/>
        </w:rPr>
        <w:t>уключають нараховану заробітну плату за окладами й тарифами, премії та заохочення, матеріальну допомогу, компенсаційні виплати, оплату відпусток та іншого невідпрацьованого часу, інші витрати на оплату праці.</w:t>
      </w:r>
    </w:p>
    <w:p w:rsidR="00B92B8D" w:rsidRPr="00B92B8D" w:rsidRDefault="00B92B8D" w:rsidP="003D5161">
      <w:pPr>
        <w:keepLines/>
        <w:suppressAutoHyphens/>
        <w:spacing w:before="180" w:after="180" w:line="240" w:lineRule="exact"/>
        <w:ind w:firstLine="454"/>
        <w:jc w:val="both"/>
        <w:rPr>
          <w:rFonts w:ascii="Arial" w:hAnsi="Arial" w:cs="Arial"/>
          <w:sz w:val="22"/>
          <w:szCs w:val="22"/>
        </w:rPr>
      </w:pPr>
      <w:r w:rsidRPr="00B92B8D">
        <w:rPr>
          <w:rFonts w:ascii="Arial" w:hAnsi="Arial" w:cs="Arial"/>
          <w:b/>
          <w:sz w:val="22"/>
          <w:szCs w:val="22"/>
        </w:rPr>
        <w:t>Обсягом виробленої продукції (товарів, послуг)</w:t>
      </w:r>
      <w:r w:rsidRPr="00660F24">
        <w:rPr>
          <w:noProof/>
        </w:rPr>
        <w:t xml:space="preserve"> </w:t>
      </w:r>
      <w:r w:rsidRPr="00B92B8D">
        <w:rPr>
          <w:rFonts w:ascii="Arial" w:hAnsi="Arial" w:cs="Arial"/>
          <w:sz w:val="22"/>
          <w:szCs w:val="22"/>
        </w:rPr>
        <w:t>є вартісна оцінка фактично виробленої підприємством продукції (товарів, послуг), яка включає продукцію, виготовлену і відвантажену (або передбачену для відвантаження) за межі підприємства, продукцію, виготовлену за власний рахунок для інвестування підприємства, а також інші нефінансові доходи.</w:t>
      </w:r>
    </w:p>
    <w:bookmarkEnd w:id="1"/>
    <w:bookmarkEnd w:id="2"/>
    <w:p w:rsidR="005239CE" w:rsidRPr="005239CE" w:rsidRDefault="005239CE" w:rsidP="003D5161">
      <w:pPr>
        <w:suppressAutoHyphens/>
        <w:spacing w:before="180" w:after="180" w:line="240" w:lineRule="exact"/>
        <w:ind w:firstLine="454"/>
        <w:jc w:val="both"/>
        <w:rPr>
          <w:rFonts w:ascii="Arial" w:hAnsi="Arial" w:cs="Arial"/>
          <w:sz w:val="22"/>
          <w:szCs w:val="22"/>
          <w:lang w:eastAsia="uk-UA"/>
        </w:rPr>
      </w:pPr>
      <w:r w:rsidRPr="005239CE">
        <w:rPr>
          <w:rFonts w:ascii="Arial" w:hAnsi="Arial" w:cs="Arial"/>
          <w:b/>
          <w:bCs/>
          <w:sz w:val="22"/>
          <w:szCs w:val="22"/>
          <w:lang w:eastAsia="uk-UA"/>
        </w:rPr>
        <w:t>Операційна діяльність</w:t>
      </w:r>
      <w:r w:rsidRPr="005239CE">
        <w:rPr>
          <w:rFonts w:ascii="Arial" w:hAnsi="Arial" w:cs="Arial"/>
          <w:sz w:val="22"/>
          <w:szCs w:val="22"/>
          <w:lang w:eastAsia="uk-UA"/>
        </w:rPr>
        <w:t xml:space="preserve"> – основна діяльність підприємства, а також інші види діяльності, які не є інвестиційною чи фінансовою діяльністю.</w:t>
      </w:r>
    </w:p>
    <w:p w:rsidR="00AA321F" w:rsidRPr="008435F5" w:rsidRDefault="00AA321F" w:rsidP="003D5161">
      <w:pPr>
        <w:suppressAutoHyphens/>
        <w:spacing w:before="180" w:after="180" w:line="240" w:lineRule="exact"/>
        <w:ind w:firstLine="454"/>
        <w:jc w:val="both"/>
        <w:rPr>
          <w:rFonts w:ascii="Arial" w:hAnsi="Arial" w:cs="Arial"/>
          <w:spacing w:val="-2"/>
          <w:sz w:val="22"/>
          <w:szCs w:val="22"/>
          <w:lang w:val="uk-UA"/>
        </w:rPr>
      </w:pPr>
      <w:r w:rsidRPr="008435F5">
        <w:rPr>
          <w:rFonts w:ascii="Arial" w:hAnsi="Arial" w:cs="Arial"/>
          <w:b/>
          <w:spacing w:val="-2"/>
          <w:sz w:val="22"/>
          <w:szCs w:val="22"/>
          <w:lang w:val="uk-UA"/>
        </w:rPr>
        <w:t xml:space="preserve">Фінансовий результат до оподаткування (прибуток, збиток) </w:t>
      </w:r>
      <w:r w:rsidRPr="008435F5">
        <w:rPr>
          <w:rFonts w:ascii="Arial" w:hAnsi="Arial" w:cs="Arial"/>
          <w:spacing w:val="-2"/>
          <w:sz w:val="22"/>
          <w:szCs w:val="22"/>
          <w:lang w:val="uk-UA"/>
        </w:rPr>
        <w:t xml:space="preserve">визначається як алгебраїчна сума прибутку (збитку) від операційної діяльності, фінансових та інших доходів (прибутків), фінансових та інших витрат (збитків). </w:t>
      </w:r>
    </w:p>
    <w:p w:rsidR="00AA321F" w:rsidRDefault="00AA321F" w:rsidP="003D5161">
      <w:pPr>
        <w:suppressAutoHyphens/>
        <w:spacing w:before="180" w:after="180" w:line="240" w:lineRule="exact"/>
        <w:ind w:firstLine="454"/>
        <w:jc w:val="both"/>
        <w:rPr>
          <w:rFonts w:ascii="Arial" w:hAnsi="Arial" w:cs="Arial"/>
          <w:sz w:val="22"/>
          <w:szCs w:val="22"/>
        </w:rPr>
      </w:pPr>
      <w:r w:rsidRPr="005239CE">
        <w:rPr>
          <w:rFonts w:ascii="Arial" w:hAnsi="Arial" w:cs="Arial"/>
          <w:b/>
          <w:sz w:val="22"/>
          <w:szCs w:val="22"/>
        </w:rPr>
        <w:t>Чистий прибуток (збиток)</w:t>
      </w:r>
      <w:r w:rsidRPr="005239CE">
        <w:rPr>
          <w:rFonts w:ascii="Arial" w:hAnsi="Arial" w:cs="Arial"/>
          <w:sz w:val="22"/>
          <w:szCs w:val="22"/>
        </w:rPr>
        <w:t xml:space="preserve"> розраховується як алгебраїчна сума прибутку (збитку) до оподаткування, податку на прибуток та прибутку (збитку) від припиненої діяльності після оподаткування.</w:t>
      </w:r>
    </w:p>
    <w:p w:rsidR="005239CE" w:rsidRPr="00B4219E" w:rsidRDefault="005239CE" w:rsidP="00DD31D4">
      <w:pPr>
        <w:suppressAutoHyphens/>
        <w:spacing w:before="240" w:line="240" w:lineRule="exact"/>
        <w:ind w:firstLine="454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B4219E">
        <w:rPr>
          <w:rFonts w:ascii="Arial" w:hAnsi="Arial" w:cs="Arial"/>
          <w:b/>
          <w:bCs/>
          <w:sz w:val="22"/>
          <w:szCs w:val="22"/>
          <w:lang w:val="uk-UA" w:eastAsia="uk-UA"/>
        </w:rPr>
        <w:lastRenderedPageBreak/>
        <w:t>Рівень рентабельності операційної діяльності</w:t>
      </w:r>
      <w:r w:rsidRPr="00B4219E">
        <w:rPr>
          <w:rFonts w:ascii="Arial" w:hAnsi="Arial" w:cs="Arial"/>
          <w:sz w:val="22"/>
          <w:szCs w:val="22"/>
          <w:lang w:val="uk-UA" w:eastAsia="uk-UA"/>
        </w:rPr>
        <w:t xml:space="preserve"> розрахований як відношення фінансового результату від операційної діяльності до витрат операційної діяльності підприємств.</w:t>
      </w:r>
    </w:p>
    <w:p w:rsidR="00FF1B12" w:rsidRDefault="003D4C56" w:rsidP="00FF1B12">
      <w:pPr>
        <w:keepLines/>
        <w:suppressAutoHyphens/>
        <w:spacing w:before="120" w:after="120" w:line="240" w:lineRule="exact"/>
        <w:ind w:firstLine="454"/>
        <w:jc w:val="both"/>
        <w:rPr>
          <w:rFonts w:ascii="Arial" w:hAnsi="Arial" w:cs="Arial"/>
          <w:noProof/>
          <w:sz w:val="22"/>
          <w:szCs w:val="22"/>
          <w:lang w:val="uk-UA"/>
        </w:rPr>
      </w:pPr>
      <w:r>
        <w:rPr>
          <w:rFonts w:ascii="Arial" w:hAnsi="Arial" w:cs="Arial"/>
          <w:noProof/>
          <w:sz w:val="22"/>
          <w:szCs w:val="22"/>
          <w:lang w:val="uk-UA"/>
        </w:rPr>
        <w:t xml:space="preserve">Обсяг реалізованої продукції (товарів, послуг) та інші показники </w:t>
      </w:r>
      <w:r w:rsidR="00FF1B12">
        <w:rPr>
          <w:rFonts w:ascii="Arial" w:hAnsi="Arial" w:cs="Arial"/>
          <w:noProof/>
          <w:sz w:val="22"/>
          <w:szCs w:val="22"/>
          <w:lang w:val="uk-UA"/>
        </w:rPr>
        <w:t>розділ</w:t>
      </w:r>
      <w:r>
        <w:rPr>
          <w:rFonts w:ascii="Arial" w:hAnsi="Arial" w:cs="Arial"/>
          <w:noProof/>
          <w:sz w:val="22"/>
          <w:szCs w:val="22"/>
          <w:lang w:val="uk-UA"/>
        </w:rPr>
        <w:t>у</w:t>
      </w:r>
      <w:r w:rsidR="00FF1B12">
        <w:rPr>
          <w:rFonts w:ascii="Arial" w:hAnsi="Arial" w:cs="Arial"/>
          <w:noProof/>
          <w:sz w:val="22"/>
          <w:szCs w:val="22"/>
          <w:lang w:val="uk-UA"/>
        </w:rPr>
        <w:t xml:space="preserve"> 5  сформовані за інституціональним підходом.</w:t>
      </w:r>
    </w:p>
    <w:p w:rsidR="00FF1B12" w:rsidRPr="00AA321F" w:rsidRDefault="00FF1B12" w:rsidP="00FF1B12">
      <w:pPr>
        <w:keepLines/>
        <w:suppressAutoHyphens/>
        <w:spacing w:before="120" w:after="120" w:line="240" w:lineRule="exact"/>
        <w:ind w:firstLine="454"/>
        <w:jc w:val="both"/>
        <w:rPr>
          <w:rFonts w:ascii="Arial" w:hAnsi="Arial" w:cs="Arial"/>
          <w:noProof/>
          <w:sz w:val="22"/>
          <w:szCs w:val="22"/>
          <w:lang w:val="uk-UA"/>
        </w:rPr>
      </w:pPr>
      <w:r>
        <w:rPr>
          <w:rFonts w:ascii="Arial" w:hAnsi="Arial" w:cs="Arial"/>
          <w:noProof/>
          <w:sz w:val="22"/>
          <w:szCs w:val="22"/>
          <w:lang w:val="uk-UA"/>
        </w:rPr>
        <w:t>Інституціональний підхід – спосіб узагальнення даних, за яким показники усіх видів економічної діяльності суб</w:t>
      </w:r>
      <w:r>
        <w:rPr>
          <w:noProof/>
          <w:sz w:val="22"/>
          <w:szCs w:val="22"/>
          <w:lang w:val="uk-UA"/>
        </w:rPr>
        <w:t>'</w:t>
      </w:r>
      <w:r>
        <w:rPr>
          <w:rFonts w:ascii="Arial" w:hAnsi="Arial" w:cs="Arial"/>
          <w:noProof/>
          <w:sz w:val="22"/>
          <w:szCs w:val="22"/>
          <w:lang w:val="uk-UA"/>
        </w:rPr>
        <w:t xml:space="preserve">єктів </w:t>
      </w:r>
      <w:r w:rsidR="00B9742A">
        <w:rPr>
          <w:rFonts w:ascii="Arial" w:hAnsi="Arial" w:cs="Arial"/>
          <w:noProof/>
          <w:sz w:val="22"/>
          <w:szCs w:val="22"/>
          <w:lang w:val="uk-UA"/>
        </w:rPr>
        <w:t>у</w:t>
      </w:r>
      <w:r>
        <w:rPr>
          <w:rFonts w:ascii="Arial" w:hAnsi="Arial" w:cs="Arial"/>
          <w:noProof/>
          <w:sz w:val="22"/>
          <w:szCs w:val="22"/>
          <w:lang w:val="uk-UA"/>
        </w:rPr>
        <w:t>раховуються у зведеннях за тим видом економічної діяльності, який визначено як основний.</w:t>
      </w:r>
    </w:p>
    <w:p w:rsidR="001A482B" w:rsidRPr="00B07C3A" w:rsidRDefault="001A482B" w:rsidP="003D4C56">
      <w:pPr>
        <w:pStyle w:val="Default"/>
        <w:suppressAutoHyphens/>
        <w:spacing w:before="240" w:line="240" w:lineRule="exact"/>
        <w:ind w:firstLine="454"/>
        <w:jc w:val="both"/>
        <w:rPr>
          <w:rFonts w:ascii="Arial" w:eastAsia="Times New Roman" w:hAnsi="Arial" w:cs="Arial"/>
          <w:color w:val="auto"/>
          <w:sz w:val="22"/>
          <w:szCs w:val="22"/>
          <w:lang w:eastAsia="ru-RU"/>
        </w:rPr>
      </w:pPr>
      <w:r w:rsidRPr="00B07C3A">
        <w:rPr>
          <w:rFonts w:ascii="Arial" w:eastAsia="Times New Roman" w:hAnsi="Arial" w:cs="Arial"/>
          <w:b/>
          <w:color w:val="auto"/>
          <w:sz w:val="22"/>
          <w:szCs w:val="22"/>
          <w:lang w:eastAsia="ru-RU"/>
        </w:rPr>
        <w:t>Викиди</w:t>
      </w:r>
      <w:r>
        <w:rPr>
          <w:rFonts w:eastAsia="Times New Roman"/>
          <w:b/>
          <w:bCs/>
          <w:sz w:val="23"/>
          <w:szCs w:val="23"/>
          <w:lang w:eastAsia="uk-UA"/>
        </w:rPr>
        <w:t xml:space="preserve"> </w:t>
      </w:r>
      <w:r w:rsidRPr="00B07C3A">
        <w:rPr>
          <w:rFonts w:ascii="Arial" w:eastAsia="Times New Roman" w:hAnsi="Arial" w:cs="Arial"/>
          <w:color w:val="auto"/>
          <w:sz w:val="22"/>
          <w:szCs w:val="22"/>
          <w:lang w:eastAsia="ru-RU"/>
        </w:rPr>
        <w:t>– надходження в атмосферне повітря</w:t>
      </w:r>
      <w:r w:rsidR="00B9742A">
        <w:rPr>
          <w:rFonts w:ascii="Arial" w:eastAsia="Times New Roman" w:hAnsi="Arial" w:cs="Arial"/>
          <w:color w:val="auto"/>
          <w:sz w:val="22"/>
          <w:szCs w:val="22"/>
          <w:lang w:eastAsia="ru-RU"/>
        </w:rPr>
        <w:t xml:space="preserve"> </w:t>
      </w:r>
      <w:r w:rsidRPr="00B07C3A">
        <w:rPr>
          <w:rFonts w:ascii="Arial" w:eastAsia="Times New Roman" w:hAnsi="Arial" w:cs="Arial"/>
          <w:color w:val="auto"/>
          <w:sz w:val="22"/>
          <w:szCs w:val="22"/>
          <w:lang w:eastAsia="ru-RU"/>
        </w:rPr>
        <w:t>забруднюючих речовин або суміші таких речовин від стаціонарних та пересувних джерел забруднення.</w:t>
      </w:r>
    </w:p>
    <w:p w:rsidR="001A482B" w:rsidRPr="00B07C3A" w:rsidRDefault="001A482B" w:rsidP="003D4C56">
      <w:pPr>
        <w:suppressAutoHyphens/>
        <w:autoSpaceDE w:val="0"/>
        <w:autoSpaceDN w:val="0"/>
        <w:adjustRightInd w:val="0"/>
        <w:spacing w:before="240" w:line="240" w:lineRule="exact"/>
        <w:ind w:firstLine="454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B07C3A">
        <w:rPr>
          <w:rFonts w:ascii="Arial" w:hAnsi="Arial" w:cs="Arial"/>
          <w:b/>
          <w:bCs/>
          <w:sz w:val="22"/>
          <w:szCs w:val="22"/>
          <w:lang w:val="uk-UA" w:eastAsia="uk-UA"/>
        </w:rPr>
        <w:t>Відходи</w:t>
      </w:r>
      <w:r>
        <w:rPr>
          <w:b/>
          <w:bCs/>
          <w:color w:val="000000"/>
          <w:sz w:val="23"/>
          <w:szCs w:val="23"/>
          <w:lang w:val="uk-UA" w:eastAsia="uk-UA"/>
        </w:rPr>
        <w:t xml:space="preserve"> </w:t>
      </w:r>
      <w:r w:rsidRPr="00B07C3A">
        <w:rPr>
          <w:rFonts w:ascii="Arial" w:hAnsi="Arial" w:cs="Arial"/>
          <w:sz w:val="22"/>
          <w:szCs w:val="22"/>
          <w:lang w:val="uk-UA" w:eastAsia="uk-UA"/>
        </w:rPr>
        <w:t>– будь-які речовини, матеріали і предмети, що утворюються в процесі виробництва чи споживання, а також товари (продукція), що повністю або частково втратили свої споживчі властивості та не мають подальшого використання за місцем їх утворення чи виявлення і від яких їх власник повинен позбутися шляхом утилізації чи видалення.</w:t>
      </w:r>
    </w:p>
    <w:p w:rsidR="001A482B" w:rsidRPr="001A482B" w:rsidRDefault="00FF1B12" w:rsidP="003D4C56">
      <w:pPr>
        <w:suppressAutoHyphens/>
        <w:autoSpaceDE w:val="0"/>
        <w:autoSpaceDN w:val="0"/>
        <w:adjustRightInd w:val="0"/>
        <w:spacing w:before="240" w:line="240" w:lineRule="exact"/>
        <w:ind w:firstLine="454"/>
        <w:jc w:val="both"/>
        <w:rPr>
          <w:rFonts w:ascii="Arial" w:hAnsi="Arial" w:cs="Arial"/>
          <w:sz w:val="22"/>
          <w:szCs w:val="22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Окремі </w:t>
      </w:r>
      <w:r w:rsidRPr="00FF1B12">
        <w:rPr>
          <w:rFonts w:ascii="Arial" w:hAnsi="Arial" w:cs="Arial"/>
          <w:b/>
          <w:sz w:val="22"/>
          <w:szCs w:val="22"/>
          <w:lang w:val="uk-UA" w:eastAsia="uk-UA"/>
        </w:rPr>
        <w:t>м</w:t>
      </w:r>
      <w:r w:rsidR="00B07C3A" w:rsidRPr="00FF1B12">
        <w:rPr>
          <w:rFonts w:ascii="Arial" w:hAnsi="Arial" w:cs="Arial"/>
          <w:b/>
          <w:sz w:val="22"/>
          <w:szCs w:val="22"/>
          <w:lang w:val="uk-UA" w:eastAsia="uk-UA"/>
        </w:rPr>
        <w:t>іжнародні порівняння</w:t>
      </w:r>
      <w:r w:rsidR="00B07C3A">
        <w:rPr>
          <w:rFonts w:ascii="Arial" w:hAnsi="Arial" w:cs="Arial"/>
          <w:sz w:val="22"/>
          <w:szCs w:val="22"/>
          <w:lang w:val="uk-UA" w:eastAsia="uk-UA"/>
        </w:rPr>
        <w:t xml:space="preserve"> </w:t>
      </w:r>
      <w:r>
        <w:rPr>
          <w:rFonts w:ascii="Arial" w:hAnsi="Arial" w:cs="Arial"/>
          <w:sz w:val="22"/>
          <w:szCs w:val="22"/>
          <w:lang w:val="uk-UA" w:eastAsia="uk-UA"/>
        </w:rPr>
        <w:t xml:space="preserve">наведені </w:t>
      </w:r>
      <w:r w:rsidR="001A482B" w:rsidRPr="00F42F03">
        <w:rPr>
          <w:rFonts w:ascii="Arial" w:hAnsi="Arial" w:cs="Arial"/>
          <w:sz w:val="22"/>
          <w:szCs w:val="22"/>
          <w:lang w:val="uk-UA" w:eastAsia="uk-UA"/>
        </w:rPr>
        <w:t>зі статистичної бази даних Європейської економічної комісії ООН</w:t>
      </w:r>
      <w:r w:rsidR="001A482B">
        <w:rPr>
          <w:rFonts w:ascii="Arial" w:hAnsi="Arial" w:cs="Arial"/>
          <w:sz w:val="22"/>
          <w:szCs w:val="22"/>
          <w:lang w:val="uk-UA" w:eastAsia="uk-UA"/>
        </w:rPr>
        <w:t>.</w:t>
      </w:r>
    </w:p>
    <w:p w:rsidR="001A482B" w:rsidRDefault="001A482B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D73947" w:rsidRDefault="00D73947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D73947" w:rsidRDefault="00D73947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8315D8" w:rsidRDefault="008315D8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D73947" w:rsidRDefault="00D73947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D73947" w:rsidRDefault="00D73947" w:rsidP="00380817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i/>
          <w:sz w:val="22"/>
          <w:szCs w:val="22"/>
          <w:u w:val="single"/>
          <w:lang w:val="uk-UA" w:eastAsia="uk-UA"/>
        </w:rPr>
      </w:pPr>
    </w:p>
    <w:p w:rsidR="001A482B" w:rsidRPr="00D73947" w:rsidRDefault="00D73947" w:rsidP="00380817">
      <w:pPr>
        <w:suppressAutoHyphens/>
        <w:ind w:firstLine="709"/>
        <w:jc w:val="both"/>
        <w:rPr>
          <w:rFonts w:ascii="Arial" w:hAnsi="Arial" w:cs="Arial"/>
          <w:lang w:val="uk-UA"/>
        </w:rPr>
      </w:pPr>
      <w:r w:rsidRPr="00D73947">
        <w:rPr>
          <w:rFonts w:ascii="Arial" w:hAnsi="Arial" w:cs="Arial"/>
          <w:lang w:val="uk-UA"/>
        </w:rPr>
        <w:t>08.12.2016 № 03.1-38/270-16</w:t>
      </w:r>
    </w:p>
    <w:sectPr w:rsidR="001A482B" w:rsidRPr="00D73947" w:rsidSect="00CD2F27">
      <w:type w:val="continuous"/>
      <w:pgSz w:w="11906" w:h="16838" w:code="9"/>
      <w:pgMar w:top="1380" w:right="991" w:bottom="1985" w:left="1134" w:header="720" w:footer="720" w:gutter="0"/>
      <w:cols w:num="2" w:space="708" w:equalWidth="0">
        <w:col w:w="4536" w:space="708"/>
        <w:col w:w="4536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505" w:rsidRDefault="00D14505">
      <w:r>
        <w:separator/>
      </w:r>
    </w:p>
  </w:endnote>
  <w:endnote w:type="continuationSeparator" w:id="0">
    <w:p w:rsidR="00D14505" w:rsidRDefault="00D14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70" w:rsidRPr="00B504A8" w:rsidRDefault="002D4F70" w:rsidP="002D4F70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B504A8">
      <w:rPr>
        <w:rStyle w:val="a7"/>
        <w:rFonts w:ascii="Arial" w:hAnsi="Arial" w:cs="Arial"/>
      </w:rPr>
      <w:fldChar w:fldCharType="begin"/>
    </w:r>
    <w:r w:rsidRPr="00B504A8">
      <w:rPr>
        <w:rStyle w:val="a7"/>
        <w:rFonts w:ascii="Arial" w:hAnsi="Arial" w:cs="Arial"/>
      </w:rPr>
      <w:instrText xml:space="preserve"> PAGE </w:instrText>
    </w:r>
    <w:r w:rsidRPr="00B504A8">
      <w:rPr>
        <w:rStyle w:val="a7"/>
        <w:rFonts w:ascii="Arial" w:hAnsi="Arial" w:cs="Arial"/>
      </w:rPr>
      <w:fldChar w:fldCharType="separate"/>
    </w:r>
    <w:r w:rsidR="004C53D6">
      <w:rPr>
        <w:rStyle w:val="a7"/>
        <w:rFonts w:ascii="Arial" w:hAnsi="Arial" w:cs="Arial"/>
        <w:noProof/>
      </w:rPr>
      <w:t>380</w:t>
    </w:r>
    <w:r w:rsidRPr="00B504A8">
      <w:rPr>
        <w:rStyle w:val="a7"/>
        <w:rFonts w:ascii="Arial" w:hAnsi="Arial" w:cs="Arial"/>
      </w:rPr>
      <w:fldChar w:fldCharType="end"/>
    </w:r>
    <w:r w:rsidRPr="00B504A8">
      <w:rPr>
        <w:rStyle w:val="a7"/>
        <w:rFonts w:ascii="Arial" w:hAnsi="Arial" w:cs="Arial"/>
      </w:rPr>
      <w:t xml:space="preserve"> </w:t>
    </w:r>
    <w:r>
      <w:rPr>
        <w:rStyle w:val="a7"/>
        <w:lang w:val="uk-UA"/>
      </w:rPr>
      <w:t xml:space="preserve">  </w:t>
    </w:r>
    <w:r w:rsidR="006C1E37">
      <w:rPr>
        <w:rStyle w:val="a7"/>
        <w:lang w:val="uk-UA"/>
      </w:rPr>
      <w:t xml:space="preserve">      </w:t>
    </w:r>
    <w:r>
      <w:rPr>
        <w:rStyle w:val="a7"/>
        <w:lang w:val="uk-UA"/>
      </w:rPr>
      <w:t xml:space="preserve">                     </w:t>
    </w:r>
    <w:r w:rsidR="00B504A8">
      <w:rPr>
        <w:rStyle w:val="a7"/>
        <w:lang w:val="uk-UA"/>
      </w:rPr>
      <w:t xml:space="preserve"> </w:t>
    </w:r>
    <w:r w:rsidR="00B504A8">
      <w:rPr>
        <w:rStyle w:val="a7"/>
        <w:lang w:val="uk-UA"/>
      </w:rPr>
      <w:tab/>
      <w:t xml:space="preserve">          </w:t>
    </w:r>
    <w:r w:rsidR="008073F1">
      <w:rPr>
        <w:rStyle w:val="a7"/>
        <w:lang w:val="uk-UA"/>
      </w:rPr>
      <w:t xml:space="preserve">                </w:t>
    </w:r>
    <w:r w:rsidR="00B504A8">
      <w:rPr>
        <w:rStyle w:val="a7"/>
        <w:lang w:val="uk-UA"/>
      </w:rPr>
      <w:t xml:space="preserve">              </w:t>
    </w:r>
    <w:r>
      <w:rPr>
        <w:rStyle w:val="a7"/>
      </w:rPr>
      <w:tab/>
    </w:r>
    <w:r>
      <w:rPr>
        <w:rFonts w:ascii="Arial" w:hAnsi="Arial"/>
      </w:rPr>
      <w:t>Збірник  "Промисловість України у 2011–</w:t>
    </w:r>
    <w:r w:rsidRPr="00B504A8">
      <w:rPr>
        <w:rStyle w:val="a7"/>
        <w:noProof/>
      </w:rPr>
      <w:t xml:space="preserve">2015 </w:t>
    </w:r>
    <w:r w:rsidRPr="00B504A8">
      <w:rPr>
        <w:rFonts w:ascii="Arial" w:hAnsi="Arial"/>
      </w:rPr>
      <w:t>роках"</w:t>
    </w:r>
  </w:p>
  <w:p w:rsidR="002D4F70" w:rsidRPr="003115CE" w:rsidRDefault="002D4F70" w:rsidP="002D4F70">
    <w:pPr>
      <w:pStyle w:val="a5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70" w:rsidRPr="00B504A8" w:rsidRDefault="002D4F70" w:rsidP="002D4F70">
    <w:pPr>
      <w:pStyle w:val="a5"/>
      <w:pBdr>
        <w:top w:val="single" w:sz="6" w:space="6" w:color="auto"/>
      </w:pBdr>
      <w:tabs>
        <w:tab w:val="right" w:pos="7797"/>
      </w:tabs>
      <w:rPr>
        <w:rStyle w:val="a7"/>
        <w:rFonts w:ascii="Arial" w:hAnsi="Arial" w:cs="Arial"/>
        <w:lang w:val="uk-U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7"/>
      </w:rPr>
      <w:t xml:space="preserve"> </w:t>
    </w:r>
    <w:r w:rsidR="006C1E37">
      <w:rPr>
        <w:rStyle w:val="a7"/>
        <w:lang w:val="uk-UA"/>
      </w:rPr>
      <w:t xml:space="preserve">    </w:t>
    </w:r>
    <w:r>
      <w:rPr>
        <w:rStyle w:val="a7"/>
      </w:rPr>
      <w:tab/>
    </w:r>
    <w:r w:rsidR="006C1E37">
      <w:rPr>
        <w:rStyle w:val="a7"/>
        <w:lang w:val="uk-UA"/>
      </w:rPr>
      <w:t xml:space="preserve">     </w:t>
    </w:r>
    <w:r>
      <w:rPr>
        <w:rStyle w:val="a7"/>
      </w:rPr>
      <w:tab/>
    </w:r>
    <w:r w:rsidR="006C1E37">
      <w:rPr>
        <w:rStyle w:val="a7"/>
        <w:lang w:val="uk-UA"/>
      </w:rPr>
      <w:t xml:space="preserve">   </w:t>
    </w:r>
    <w:r w:rsidR="006C1E37">
      <w:rPr>
        <w:rStyle w:val="a7"/>
        <w:lang w:val="uk-UA"/>
      </w:rPr>
      <w:tab/>
    </w:r>
    <w:r>
      <w:rPr>
        <w:rStyle w:val="a7"/>
      </w:rPr>
      <w:tab/>
    </w:r>
    <w:r w:rsidRPr="00B504A8">
      <w:rPr>
        <w:rStyle w:val="a7"/>
        <w:rFonts w:ascii="Arial" w:hAnsi="Arial" w:cs="Arial"/>
      </w:rPr>
      <w:fldChar w:fldCharType="begin"/>
    </w:r>
    <w:r w:rsidRPr="00B504A8">
      <w:rPr>
        <w:rStyle w:val="a7"/>
        <w:rFonts w:ascii="Arial" w:hAnsi="Arial" w:cs="Arial"/>
      </w:rPr>
      <w:instrText xml:space="preserve"> PAGE </w:instrText>
    </w:r>
    <w:r w:rsidRPr="00B504A8">
      <w:rPr>
        <w:rStyle w:val="a7"/>
        <w:rFonts w:ascii="Arial" w:hAnsi="Arial" w:cs="Arial"/>
      </w:rPr>
      <w:fldChar w:fldCharType="separate"/>
    </w:r>
    <w:r w:rsidR="004C53D6">
      <w:rPr>
        <w:rStyle w:val="a7"/>
        <w:rFonts w:ascii="Arial" w:hAnsi="Arial" w:cs="Arial"/>
        <w:noProof/>
      </w:rPr>
      <w:t>381</w:t>
    </w:r>
    <w:r w:rsidRPr="00B504A8">
      <w:rPr>
        <w:rStyle w:val="a7"/>
        <w:rFonts w:ascii="Arial" w:hAnsi="Arial" w:cs="Arial"/>
      </w:rPr>
      <w:fldChar w:fldCharType="end"/>
    </w:r>
  </w:p>
  <w:p w:rsidR="002D4F70" w:rsidRPr="00B504A8" w:rsidRDefault="002D4F70" w:rsidP="002D4F70">
    <w:pPr>
      <w:pStyle w:val="a5"/>
      <w:pBdr>
        <w:top w:val="single" w:sz="6" w:space="6" w:color="auto"/>
      </w:pBdr>
      <w:tabs>
        <w:tab w:val="right" w:pos="7797"/>
      </w:tabs>
      <w:rPr>
        <w:rFonts w:ascii="Arial" w:hAnsi="Arial" w:cs="Arial"/>
      </w:rPr>
    </w:pPr>
    <w:r w:rsidRPr="00B504A8">
      <w:rPr>
        <w:rFonts w:ascii="Arial" w:hAnsi="Arial" w:cs="Arial"/>
      </w:rPr>
      <w:t>Державна служба статистики України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3D6" w:rsidRPr="00B504A8" w:rsidRDefault="004C53D6" w:rsidP="004C53D6">
    <w:pPr>
      <w:pStyle w:val="a5"/>
      <w:pBdr>
        <w:top w:val="single" w:sz="6" w:space="6" w:color="auto"/>
      </w:pBdr>
      <w:tabs>
        <w:tab w:val="right" w:pos="7797"/>
      </w:tabs>
      <w:rPr>
        <w:rStyle w:val="a7"/>
        <w:rFonts w:ascii="Arial" w:hAnsi="Arial" w:cs="Arial"/>
        <w:lang w:val="uk-U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7"/>
      </w:rPr>
      <w:t xml:space="preserve"> </w:t>
    </w:r>
    <w:r>
      <w:rPr>
        <w:rStyle w:val="a7"/>
        <w:lang w:val="uk-UA"/>
      </w:rPr>
      <w:t xml:space="preserve">     </w:t>
    </w:r>
    <w:r>
      <w:rPr>
        <w:rStyle w:val="a7"/>
      </w:rPr>
      <w:tab/>
    </w:r>
    <w:r>
      <w:rPr>
        <w:rStyle w:val="a7"/>
        <w:lang w:val="uk-UA"/>
      </w:rPr>
      <w:t xml:space="preserve">   </w:t>
    </w:r>
    <w:r>
      <w:rPr>
        <w:rStyle w:val="a7"/>
        <w:lang w:val="uk-UA"/>
      </w:rPr>
      <w:tab/>
    </w:r>
    <w:r>
      <w:rPr>
        <w:rStyle w:val="a7"/>
      </w:rPr>
      <w:tab/>
    </w:r>
    <w:r w:rsidRPr="00B504A8">
      <w:rPr>
        <w:rStyle w:val="a7"/>
        <w:rFonts w:ascii="Arial" w:hAnsi="Arial" w:cs="Arial"/>
      </w:rPr>
      <w:fldChar w:fldCharType="begin"/>
    </w:r>
    <w:r w:rsidRPr="00B504A8">
      <w:rPr>
        <w:rStyle w:val="a7"/>
        <w:rFonts w:ascii="Arial" w:hAnsi="Arial" w:cs="Arial"/>
      </w:rPr>
      <w:instrText xml:space="preserve"> PAGE </w:instrText>
    </w:r>
    <w:r w:rsidRPr="00B504A8">
      <w:rPr>
        <w:rStyle w:val="a7"/>
        <w:rFonts w:ascii="Arial" w:hAnsi="Arial" w:cs="Arial"/>
      </w:rPr>
      <w:fldChar w:fldCharType="separate"/>
    </w:r>
    <w:r>
      <w:rPr>
        <w:rStyle w:val="a7"/>
        <w:rFonts w:ascii="Arial" w:hAnsi="Arial" w:cs="Arial"/>
        <w:noProof/>
      </w:rPr>
      <w:t>379</w:t>
    </w:r>
    <w:r w:rsidRPr="00B504A8">
      <w:rPr>
        <w:rStyle w:val="a7"/>
        <w:rFonts w:ascii="Arial" w:hAnsi="Arial" w:cs="Arial"/>
      </w:rPr>
      <w:fldChar w:fldCharType="end"/>
    </w:r>
  </w:p>
  <w:p w:rsidR="004C53D6" w:rsidRPr="00B504A8" w:rsidRDefault="004C53D6" w:rsidP="004C53D6">
    <w:pPr>
      <w:pStyle w:val="a5"/>
      <w:pBdr>
        <w:top w:val="single" w:sz="6" w:space="6" w:color="auto"/>
      </w:pBdr>
      <w:tabs>
        <w:tab w:val="right" w:pos="7797"/>
      </w:tabs>
      <w:rPr>
        <w:rFonts w:ascii="Arial" w:hAnsi="Arial" w:cs="Arial"/>
      </w:rPr>
    </w:pPr>
    <w:r w:rsidRPr="00B504A8">
      <w:rPr>
        <w:rFonts w:ascii="Arial" w:hAnsi="Arial" w:cs="Arial"/>
      </w:rPr>
      <w:t>Державна служба статистики України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505" w:rsidRDefault="00D14505">
      <w:r>
        <w:separator/>
      </w:r>
    </w:p>
  </w:footnote>
  <w:footnote w:type="continuationSeparator" w:id="0">
    <w:p w:rsidR="00D14505" w:rsidRDefault="00D14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F27" w:rsidRPr="00CD2F27" w:rsidRDefault="00CD2F27" w:rsidP="00CD2F27">
    <w:pPr>
      <w:pStyle w:val="a3"/>
      <w:pBdr>
        <w:bottom w:val="single" w:sz="6" w:space="6" w:color="auto"/>
      </w:pBdr>
      <w:jc w:val="center"/>
      <w:rPr>
        <w:rFonts w:ascii="Arial" w:hAnsi="Arial" w:cs="Arial"/>
        <w:sz w:val="22"/>
        <w:szCs w:val="22"/>
        <w:lang w:val="uk-UA"/>
      </w:rPr>
    </w:pPr>
    <w:r>
      <w:rPr>
        <w:rFonts w:ascii="Arial" w:hAnsi="Arial" w:cs="Arial"/>
        <w:noProof/>
        <w:sz w:val="22"/>
        <w:szCs w:val="22"/>
        <w:lang w:val="uk-UA"/>
      </w:rPr>
      <w:t>КОРОТКІ ПОЯСНЕННЯ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F27" w:rsidRPr="00CD2F27" w:rsidRDefault="00CD2F27" w:rsidP="00CD2F27">
    <w:pPr>
      <w:pStyle w:val="a3"/>
      <w:pBdr>
        <w:bottom w:val="single" w:sz="6" w:space="6" w:color="auto"/>
      </w:pBdr>
      <w:jc w:val="center"/>
      <w:rPr>
        <w:rFonts w:ascii="Arial" w:hAnsi="Arial" w:cs="Arial"/>
        <w:sz w:val="22"/>
        <w:szCs w:val="22"/>
        <w:lang w:val="uk-UA"/>
      </w:rPr>
    </w:pPr>
    <w:r>
      <w:rPr>
        <w:rFonts w:ascii="Arial" w:hAnsi="Arial" w:cs="Arial"/>
        <w:noProof/>
        <w:sz w:val="22"/>
        <w:szCs w:val="22"/>
        <w:lang w:val="uk-UA"/>
      </w:rPr>
      <w:t>КОРОТКІ ПОЯСНЕННЯ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1">
    <w:nsid w:val="42D059AA"/>
    <w:multiLevelType w:val="hybridMultilevel"/>
    <w:tmpl w:val="FF4A4AF4"/>
    <w:lvl w:ilvl="0" w:tplc="EA5A3F3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B643C7"/>
    <w:multiLevelType w:val="hybridMultilevel"/>
    <w:tmpl w:val="6C12524E"/>
    <w:lvl w:ilvl="0" w:tplc="D8F02DDA">
      <w:start w:val="5"/>
      <w:numFmt w:val="bullet"/>
      <w:lvlText w:val="–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1E"/>
    <w:rsid w:val="00004C97"/>
    <w:rsid w:val="000119EE"/>
    <w:rsid w:val="00017874"/>
    <w:rsid w:val="000220BA"/>
    <w:rsid w:val="00032A79"/>
    <w:rsid w:val="0003357F"/>
    <w:rsid w:val="000338CD"/>
    <w:rsid w:val="000401E0"/>
    <w:rsid w:val="00043542"/>
    <w:rsid w:val="00044BD4"/>
    <w:rsid w:val="000523C2"/>
    <w:rsid w:val="000533BB"/>
    <w:rsid w:val="00057AB0"/>
    <w:rsid w:val="000622CB"/>
    <w:rsid w:val="0006672A"/>
    <w:rsid w:val="00067547"/>
    <w:rsid w:val="000736B2"/>
    <w:rsid w:val="000757BF"/>
    <w:rsid w:val="00077C8D"/>
    <w:rsid w:val="0008173A"/>
    <w:rsid w:val="00085169"/>
    <w:rsid w:val="00087714"/>
    <w:rsid w:val="000932F9"/>
    <w:rsid w:val="000938D5"/>
    <w:rsid w:val="000A3EB0"/>
    <w:rsid w:val="000A6D34"/>
    <w:rsid w:val="000B47F2"/>
    <w:rsid w:val="000B4EE1"/>
    <w:rsid w:val="000B69AF"/>
    <w:rsid w:val="000B7BE1"/>
    <w:rsid w:val="000C799D"/>
    <w:rsid w:val="000D351A"/>
    <w:rsid w:val="000E1BFA"/>
    <w:rsid w:val="000E31C7"/>
    <w:rsid w:val="000E3586"/>
    <w:rsid w:val="000E4B38"/>
    <w:rsid w:val="000E5BCD"/>
    <w:rsid w:val="000E7532"/>
    <w:rsid w:val="000F07C9"/>
    <w:rsid w:val="000F2F55"/>
    <w:rsid w:val="000F40AA"/>
    <w:rsid w:val="00102B54"/>
    <w:rsid w:val="00103BF1"/>
    <w:rsid w:val="00110083"/>
    <w:rsid w:val="001164A9"/>
    <w:rsid w:val="00124D7A"/>
    <w:rsid w:val="0013629A"/>
    <w:rsid w:val="00140065"/>
    <w:rsid w:val="0014070D"/>
    <w:rsid w:val="001423C5"/>
    <w:rsid w:val="00153249"/>
    <w:rsid w:val="001636BC"/>
    <w:rsid w:val="00170E53"/>
    <w:rsid w:val="00171B8A"/>
    <w:rsid w:val="0017434E"/>
    <w:rsid w:val="00177719"/>
    <w:rsid w:val="00190DC9"/>
    <w:rsid w:val="00192E98"/>
    <w:rsid w:val="00193BF7"/>
    <w:rsid w:val="00195332"/>
    <w:rsid w:val="00196D64"/>
    <w:rsid w:val="00196DE8"/>
    <w:rsid w:val="001A0C60"/>
    <w:rsid w:val="001A482B"/>
    <w:rsid w:val="001B7814"/>
    <w:rsid w:val="001C0B89"/>
    <w:rsid w:val="001C247D"/>
    <w:rsid w:val="001D4DD5"/>
    <w:rsid w:val="001E0259"/>
    <w:rsid w:val="001F6EA4"/>
    <w:rsid w:val="00211C28"/>
    <w:rsid w:val="00212BE5"/>
    <w:rsid w:val="002142BE"/>
    <w:rsid w:val="0021465B"/>
    <w:rsid w:val="00223483"/>
    <w:rsid w:val="002236CB"/>
    <w:rsid w:val="002263EE"/>
    <w:rsid w:val="00226618"/>
    <w:rsid w:val="00235D0F"/>
    <w:rsid w:val="0023666C"/>
    <w:rsid w:val="00246690"/>
    <w:rsid w:val="00246FC4"/>
    <w:rsid w:val="00247894"/>
    <w:rsid w:val="0024791C"/>
    <w:rsid w:val="002479E0"/>
    <w:rsid w:val="00254A86"/>
    <w:rsid w:val="00257597"/>
    <w:rsid w:val="00257BD6"/>
    <w:rsid w:val="00263667"/>
    <w:rsid w:val="0026393C"/>
    <w:rsid w:val="00266433"/>
    <w:rsid w:val="00266DA3"/>
    <w:rsid w:val="00270B61"/>
    <w:rsid w:val="00273449"/>
    <w:rsid w:val="002838B2"/>
    <w:rsid w:val="00284B16"/>
    <w:rsid w:val="002852CF"/>
    <w:rsid w:val="00297FC7"/>
    <w:rsid w:val="002A4150"/>
    <w:rsid w:val="002A66B9"/>
    <w:rsid w:val="002B5C9C"/>
    <w:rsid w:val="002B7D4F"/>
    <w:rsid w:val="002C0967"/>
    <w:rsid w:val="002C280D"/>
    <w:rsid w:val="002D4F70"/>
    <w:rsid w:val="002D5D53"/>
    <w:rsid w:val="002D74E8"/>
    <w:rsid w:val="002E2EA4"/>
    <w:rsid w:val="002E4274"/>
    <w:rsid w:val="002E52F4"/>
    <w:rsid w:val="002E5891"/>
    <w:rsid w:val="002F0C9C"/>
    <w:rsid w:val="002F0D3F"/>
    <w:rsid w:val="002F30FB"/>
    <w:rsid w:val="002F6DC0"/>
    <w:rsid w:val="002F756B"/>
    <w:rsid w:val="00306AA8"/>
    <w:rsid w:val="00331C0C"/>
    <w:rsid w:val="003429C5"/>
    <w:rsid w:val="00342C24"/>
    <w:rsid w:val="0034382F"/>
    <w:rsid w:val="003470D2"/>
    <w:rsid w:val="00350E92"/>
    <w:rsid w:val="0035141F"/>
    <w:rsid w:val="00367410"/>
    <w:rsid w:val="00371449"/>
    <w:rsid w:val="0037222A"/>
    <w:rsid w:val="003776DD"/>
    <w:rsid w:val="00380817"/>
    <w:rsid w:val="00380D38"/>
    <w:rsid w:val="00382CF1"/>
    <w:rsid w:val="003838EF"/>
    <w:rsid w:val="00384B1E"/>
    <w:rsid w:val="00387EAE"/>
    <w:rsid w:val="00391DAA"/>
    <w:rsid w:val="00392F53"/>
    <w:rsid w:val="00393B9A"/>
    <w:rsid w:val="00397CC7"/>
    <w:rsid w:val="003A2741"/>
    <w:rsid w:val="003A46F2"/>
    <w:rsid w:val="003A4D9F"/>
    <w:rsid w:val="003A53A1"/>
    <w:rsid w:val="003A6D43"/>
    <w:rsid w:val="003A7F75"/>
    <w:rsid w:val="003B0CE9"/>
    <w:rsid w:val="003B63CF"/>
    <w:rsid w:val="003B7952"/>
    <w:rsid w:val="003C15AD"/>
    <w:rsid w:val="003C2034"/>
    <w:rsid w:val="003C2C0B"/>
    <w:rsid w:val="003D2924"/>
    <w:rsid w:val="003D2F4A"/>
    <w:rsid w:val="003D4C56"/>
    <w:rsid w:val="003D5161"/>
    <w:rsid w:val="003E2F6B"/>
    <w:rsid w:val="003F1931"/>
    <w:rsid w:val="003F395F"/>
    <w:rsid w:val="003F3C9B"/>
    <w:rsid w:val="003F44C6"/>
    <w:rsid w:val="003F5B45"/>
    <w:rsid w:val="004074EF"/>
    <w:rsid w:val="00414F98"/>
    <w:rsid w:val="0042626D"/>
    <w:rsid w:val="00427960"/>
    <w:rsid w:val="004304D4"/>
    <w:rsid w:val="004456E2"/>
    <w:rsid w:val="00446398"/>
    <w:rsid w:val="00447E80"/>
    <w:rsid w:val="00450729"/>
    <w:rsid w:val="004511B7"/>
    <w:rsid w:val="00451714"/>
    <w:rsid w:val="00452153"/>
    <w:rsid w:val="004542BC"/>
    <w:rsid w:val="0046230A"/>
    <w:rsid w:val="00464765"/>
    <w:rsid w:val="00467FF2"/>
    <w:rsid w:val="0047017D"/>
    <w:rsid w:val="0047183A"/>
    <w:rsid w:val="00480585"/>
    <w:rsid w:val="00486DE7"/>
    <w:rsid w:val="004A22B0"/>
    <w:rsid w:val="004A2ECD"/>
    <w:rsid w:val="004A53EE"/>
    <w:rsid w:val="004B08BA"/>
    <w:rsid w:val="004B0BD1"/>
    <w:rsid w:val="004B32E8"/>
    <w:rsid w:val="004B36E2"/>
    <w:rsid w:val="004C53D6"/>
    <w:rsid w:val="004D0DE8"/>
    <w:rsid w:val="004E5517"/>
    <w:rsid w:val="004E6B03"/>
    <w:rsid w:val="004F3920"/>
    <w:rsid w:val="00504B8B"/>
    <w:rsid w:val="0050552A"/>
    <w:rsid w:val="005116F1"/>
    <w:rsid w:val="00517872"/>
    <w:rsid w:val="00520C27"/>
    <w:rsid w:val="005239CE"/>
    <w:rsid w:val="0052680E"/>
    <w:rsid w:val="00533347"/>
    <w:rsid w:val="00544EAF"/>
    <w:rsid w:val="0054705B"/>
    <w:rsid w:val="00547B8D"/>
    <w:rsid w:val="00550763"/>
    <w:rsid w:val="00553CE8"/>
    <w:rsid w:val="00555C0E"/>
    <w:rsid w:val="00565D00"/>
    <w:rsid w:val="005733AD"/>
    <w:rsid w:val="00586EAD"/>
    <w:rsid w:val="005A2DF9"/>
    <w:rsid w:val="005A30FF"/>
    <w:rsid w:val="005A54A3"/>
    <w:rsid w:val="005A5FAA"/>
    <w:rsid w:val="005A5FDD"/>
    <w:rsid w:val="005B2D2B"/>
    <w:rsid w:val="005C7DEF"/>
    <w:rsid w:val="005D0BD8"/>
    <w:rsid w:val="005D3349"/>
    <w:rsid w:val="005E3ED4"/>
    <w:rsid w:val="005F0C82"/>
    <w:rsid w:val="005F4766"/>
    <w:rsid w:val="005F4F70"/>
    <w:rsid w:val="005F58BD"/>
    <w:rsid w:val="00605795"/>
    <w:rsid w:val="006108F5"/>
    <w:rsid w:val="0061158F"/>
    <w:rsid w:val="00611C24"/>
    <w:rsid w:val="00613245"/>
    <w:rsid w:val="00616A8F"/>
    <w:rsid w:val="00620054"/>
    <w:rsid w:val="00623EBA"/>
    <w:rsid w:val="00627D7C"/>
    <w:rsid w:val="0063191F"/>
    <w:rsid w:val="00632FFE"/>
    <w:rsid w:val="006340BF"/>
    <w:rsid w:val="00635AC8"/>
    <w:rsid w:val="00640194"/>
    <w:rsid w:val="0064181E"/>
    <w:rsid w:val="006454DE"/>
    <w:rsid w:val="006515CD"/>
    <w:rsid w:val="006519AD"/>
    <w:rsid w:val="00655147"/>
    <w:rsid w:val="00656B15"/>
    <w:rsid w:val="00676DE6"/>
    <w:rsid w:val="006916CE"/>
    <w:rsid w:val="00693737"/>
    <w:rsid w:val="006A16BF"/>
    <w:rsid w:val="006A248A"/>
    <w:rsid w:val="006A44B2"/>
    <w:rsid w:val="006B538C"/>
    <w:rsid w:val="006C0528"/>
    <w:rsid w:val="006C13C7"/>
    <w:rsid w:val="006C1E37"/>
    <w:rsid w:val="006E141C"/>
    <w:rsid w:val="006E2149"/>
    <w:rsid w:val="006E29EF"/>
    <w:rsid w:val="006F2FA3"/>
    <w:rsid w:val="00701D03"/>
    <w:rsid w:val="00714A37"/>
    <w:rsid w:val="00717729"/>
    <w:rsid w:val="00727CEE"/>
    <w:rsid w:val="00735C42"/>
    <w:rsid w:val="007406E6"/>
    <w:rsid w:val="00742DCD"/>
    <w:rsid w:val="00746257"/>
    <w:rsid w:val="00747C7F"/>
    <w:rsid w:val="0075318B"/>
    <w:rsid w:val="00760614"/>
    <w:rsid w:val="0076425C"/>
    <w:rsid w:val="00770A14"/>
    <w:rsid w:val="00770C34"/>
    <w:rsid w:val="00772F87"/>
    <w:rsid w:val="007776C4"/>
    <w:rsid w:val="0078117F"/>
    <w:rsid w:val="007813EE"/>
    <w:rsid w:val="00782374"/>
    <w:rsid w:val="00786DAE"/>
    <w:rsid w:val="00787A9E"/>
    <w:rsid w:val="00794A42"/>
    <w:rsid w:val="007A2680"/>
    <w:rsid w:val="007B31AC"/>
    <w:rsid w:val="007C292C"/>
    <w:rsid w:val="007D2D1E"/>
    <w:rsid w:val="007E210C"/>
    <w:rsid w:val="007F097F"/>
    <w:rsid w:val="007F0AF2"/>
    <w:rsid w:val="007F2307"/>
    <w:rsid w:val="007F5AF6"/>
    <w:rsid w:val="007F654B"/>
    <w:rsid w:val="00800874"/>
    <w:rsid w:val="008048DE"/>
    <w:rsid w:val="00806DED"/>
    <w:rsid w:val="008073F1"/>
    <w:rsid w:val="0081145E"/>
    <w:rsid w:val="0081285D"/>
    <w:rsid w:val="00815979"/>
    <w:rsid w:val="0081705A"/>
    <w:rsid w:val="0082147D"/>
    <w:rsid w:val="00822848"/>
    <w:rsid w:val="008315D8"/>
    <w:rsid w:val="00832310"/>
    <w:rsid w:val="0083418C"/>
    <w:rsid w:val="008344E4"/>
    <w:rsid w:val="00837C10"/>
    <w:rsid w:val="008435F5"/>
    <w:rsid w:val="00844371"/>
    <w:rsid w:val="00845221"/>
    <w:rsid w:val="00850321"/>
    <w:rsid w:val="00863EAA"/>
    <w:rsid w:val="00871753"/>
    <w:rsid w:val="00872C6A"/>
    <w:rsid w:val="008771B5"/>
    <w:rsid w:val="00877221"/>
    <w:rsid w:val="008774D7"/>
    <w:rsid w:val="008844DC"/>
    <w:rsid w:val="008A3A16"/>
    <w:rsid w:val="008A4590"/>
    <w:rsid w:val="008A69EC"/>
    <w:rsid w:val="008B448F"/>
    <w:rsid w:val="008B6E3E"/>
    <w:rsid w:val="008D0AA8"/>
    <w:rsid w:val="008E70B6"/>
    <w:rsid w:val="008F67FF"/>
    <w:rsid w:val="0090167A"/>
    <w:rsid w:val="00915491"/>
    <w:rsid w:val="00916327"/>
    <w:rsid w:val="009171EF"/>
    <w:rsid w:val="00921F1D"/>
    <w:rsid w:val="00923CC7"/>
    <w:rsid w:val="00927F68"/>
    <w:rsid w:val="00933232"/>
    <w:rsid w:val="009336DF"/>
    <w:rsid w:val="0093615C"/>
    <w:rsid w:val="00937222"/>
    <w:rsid w:val="00940B4E"/>
    <w:rsid w:val="00942FC7"/>
    <w:rsid w:val="00945A36"/>
    <w:rsid w:val="00945B9A"/>
    <w:rsid w:val="00946D64"/>
    <w:rsid w:val="00947BF6"/>
    <w:rsid w:val="009524A1"/>
    <w:rsid w:val="009618FE"/>
    <w:rsid w:val="00962793"/>
    <w:rsid w:val="00962D79"/>
    <w:rsid w:val="00974D52"/>
    <w:rsid w:val="009905FB"/>
    <w:rsid w:val="009A49AC"/>
    <w:rsid w:val="009A4ECB"/>
    <w:rsid w:val="009A68F3"/>
    <w:rsid w:val="009A69E6"/>
    <w:rsid w:val="009B6DD8"/>
    <w:rsid w:val="009B6F1F"/>
    <w:rsid w:val="009C0F11"/>
    <w:rsid w:val="009C11F3"/>
    <w:rsid w:val="009C3F22"/>
    <w:rsid w:val="009C50DA"/>
    <w:rsid w:val="009C6564"/>
    <w:rsid w:val="009D0A17"/>
    <w:rsid w:val="009D2EB9"/>
    <w:rsid w:val="009D63C3"/>
    <w:rsid w:val="009D6700"/>
    <w:rsid w:val="009D6D07"/>
    <w:rsid w:val="009E1837"/>
    <w:rsid w:val="009E6711"/>
    <w:rsid w:val="009F0E0A"/>
    <w:rsid w:val="00A10AAC"/>
    <w:rsid w:val="00A11585"/>
    <w:rsid w:val="00A14302"/>
    <w:rsid w:val="00A15F4E"/>
    <w:rsid w:val="00A17148"/>
    <w:rsid w:val="00A23C72"/>
    <w:rsid w:val="00A244AF"/>
    <w:rsid w:val="00A25738"/>
    <w:rsid w:val="00A379D7"/>
    <w:rsid w:val="00A43519"/>
    <w:rsid w:val="00A5292F"/>
    <w:rsid w:val="00A563E9"/>
    <w:rsid w:val="00A66D41"/>
    <w:rsid w:val="00A75C7F"/>
    <w:rsid w:val="00A76928"/>
    <w:rsid w:val="00A76A03"/>
    <w:rsid w:val="00A80811"/>
    <w:rsid w:val="00A84741"/>
    <w:rsid w:val="00A91B57"/>
    <w:rsid w:val="00AA321F"/>
    <w:rsid w:val="00AA4942"/>
    <w:rsid w:val="00AB0D1A"/>
    <w:rsid w:val="00AB7791"/>
    <w:rsid w:val="00AD41B3"/>
    <w:rsid w:val="00AD6C00"/>
    <w:rsid w:val="00AE0DDC"/>
    <w:rsid w:val="00AE2596"/>
    <w:rsid w:val="00AE3BD0"/>
    <w:rsid w:val="00AE3E6B"/>
    <w:rsid w:val="00AE647C"/>
    <w:rsid w:val="00AF3956"/>
    <w:rsid w:val="00AF51D1"/>
    <w:rsid w:val="00B0083D"/>
    <w:rsid w:val="00B02B99"/>
    <w:rsid w:val="00B07C3A"/>
    <w:rsid w:val="00B17E39"/>
    <w:rsid w:val="00B269EB"/>
    <w:rsid w:val="00B324B0"/>
    <w:rsid w:val="00B4219E"/>
    <w:rsid w:val="00B47402"/>
    <w:rsid w:val="00B47575"/>
    <w:rsid w:val="00B504A8"/>
    <w:rsid w:val="00B51ADD"/>
    <w:rsid w:val="00B554BE"/>
    <w:rsid w:val="00B708D9"/>
    <w:rsid w:val="00B81334"/>
    <w:rsid w:val="00B81767"/>
    <w:rsid w:val="00B87609"/>
    <w:rsid w:val="00B92B8D"/>
    <w:rsid w:val="00B9742A"/>
    <w:rsid w:val="00BA101D"/>
    <w:rsid w:val="00BA10B2"/>
    <w:rsid w:val="00BA1993"/>
    <w:rsid w:val="00BA7D85"/>
    <w:rsid w:val="00BB77A3"/>
    <w:rsid w:val="00BC4566"/>
    <w:rsid w:val="00BE1DCB"/>
    <w:rsid w:val="00BF2530"/>
    <w:rsid w:val="00BF280C"/>
    <w:rsid w:val="00BF4601"/>
    <w:rsid w:val="00C01353"/>
    <w:rsid w:val="00C03D50"/>
    <w:rsid w:val="00C11CDA"/>
    <w:rsid w:val="00C140A7"/>
    <w:rsid w:val="00C15A80"/>
    <w:rsid w:val="00C15C0C"/>
    <w:rsid w:val="00C2005A"/>
    <w:rsid w:val="00C30806"/>
    <w:rsid w:val="00C31B08"/>
    <w:rsid w:val="00C37F16"/>
    <w:rsid w:val="00C410F2"/>
    <w:rsid w:val="00C41CE1"/>
    <w:rsid w:val="00C4565E"/>
    <w:rsid w:val="00C46578"/>
    <w:rsid w:val="00C52298"/>
    <w:rsid w:val="00C5516E"/>
    <w:rsid w:val="00C67DB9"/>
    <w:rsid w:val="00C71259"/>
    <w:rsid w:val="00C723C9"/>
    <w:rsid w:val="00C73F19"/>
    <w:rsid w:val="00C8460B"/>
    <w:rsid w:val="00C9000B"/>
    <w:rsid w:val="00C90AFC"/>
    <w:rsid w:val="00C93928"/>
    <w:rsid w:val="00C954D9"/>
    <w:rsid w:val="00C97681"/>
    <w:rsid w:val="00CA20BB"/>
    <w:rsid w:val="00CA2286"/>
    <w:rsid w:val="00CA305E"/>
    <w:rsid w:val="00CB7044"/>
    <w:rsid w:val="00CC168E"/>
    <w:rsid w:val="00CC326F"/>
    <w:rsid w:val="00CC47BD"/>
    <w:rsid w:val="00CC5620"/>
    <w:rsid w:val="00CD2F27"/>
    <w:rsid w:val="00CD407E"/>
    <w:rsid w:val="00CD5CA7"/>
    <w:rsid w:val="00CE6270"/>
    <w:rsid w:val="00CF0475"/>
    <w:rsid w:val="00CF0EE4"/>
    <w:rsid w:val="00CF7B8D"/>
    <w:rsid w:val="00D01FE2"/>
    <w:rsid w:val="00D05DBE"/>
    <w:rsid w:val="00D12DD9"/>
    <w:rsid w:val="00D14505"/>
    <w:rsid w:val="00D14AAA"/>
    <w:rsid w:val="00D21C0A"/>
    <w:rsid w:val="00D22A87"/>
    <w:rsid w:val="00D23E79"/>
    <w:rsid w:val="00D24960"/>
    <w:rsid w:val="00D24EBE"/>
    <w:rsid w:val="00D327D2"/>
    <w:rsid w:val="00D36720"/>
    <w:rsid w:val="00D4000C"/>
    <w:rsid w:val="00D443AE"/>
    <w:rsid w:val="00D45A0E"/>
    <w:rsid w:val="00D53E76"/>
    <w:rsid w:val="00D600DB"/>
    <w:rsid w:val="00D659C0"/>
    <w:rsid w:val="00D67210"/>
    <w:rsid w:val="00D73947"/>
    <w:rsid w:val="00D74564"/>
    <w:rsid w:val="00D75BBF"/>
    <w:rsid w:val="00D86B93"/>
    <w:rsid w:val="00D900D2"/>
    <w:rsid w:val="00D949DD"/>
    <w:rsid w:val="00D96BE2"/>
    <w:rsid w:val="00D97F26"/>
    <w:rsid w:val="00DA114B"/>
    <w:rsid w:val="00DA618F"/>
    <w:rsid w:val="00DA6743"/>
    <w:rsid w:val="00DB178B"/>
    <w:rsid w:val="00DB29D8"/>
    <w:rsid w:val="00DC3CBB"/>
    <w:rsid w:val="00DC483B"/>
    <w:rsid w:val="00DC5E24"/>
    <w:rsid w:val="00DD31D4"/>
    <w:rsid w:val="00DD5E1D"/>
    <w:rsid w:val="00DE57F0"/>
    <w:rsid w:val="00DE5C42"/>
    <w:rsid w:val="00DF3B10"/>
    <w:rsid w:val="00DF61F7"/>
    <w:rsid w:val="00E07369"/>
    <w:rsid w:val="00E07769"/>
    <w:rsid w:val="00E14937"/>
    <w:rsid w:val="00E168D4"/>
    <w:rsid w:val="00E17355"/>
    <w:rsid w:val="00E24B12"/>
    <w:rsid w:val="00E4221F"/>
    <w:rsid w:val="00E43E38"/>
    <w:rsid w:val="00E45921"/>
    <w:rsid w:val="00E50ECD"/>
    <w:rsid w:val="00E54FAF"/>
    <w:rsid w:val="00E56D01"/>
    <w:rsid w:val="00E56F0E"/>
    <w:rsid w:val="00E615E1"/>
    <w:rsid w:val="00E639E0"/>
    <w:rsid w:val="00E67998"/>
    <w:rsid w:val="00E70356"/>
    <w:rsid w:val="00E712CC"/>
    <w:rsid w:val="00E74880"/>
    <w:rsid w:val="00E74E5B"/>
    <w:rsid w:val="00E805C7"/>
    <w:rsid w:val="00E81FF1"/>
    <w:rsid w:val="00E86677"/>
    <w:rsid w:val="00E9105C"/>
    <w:rsid w:val="00E964CF"/>
    <w:rsid w:val="00EA29A4"/>
    <w:rsid w:val="00EA48A6"/>
    <w:rsid w:val="00EB1117"/>
    <w:rsid w:val="00EB1B61"/>
    <w:rsid w:val="00EB5F92"/>
    <w:rsid w:val="00EB7716"/>
    <w:rsid w:val="00EC3CB7"/>
    <w:rsid w:val="00ED0993"/>
    <w:rsid w:val="00ED0D42"/>
    <w:rsid w:val="00ED5077"/>
    <w:rsid w:val="00ED636B"/>
    <w:rsid w:val="00ED67E8"/>
    <w:rsid w:val="00EE308E"/>
    <w:rsid w:val="00EE364F"/>
    <w:rsid w:val="00EE3D80"/>
    <w:rsid w:val="00EE422F"/>
    <w:rsid w:val="00EE4465"/>
    <w:rsid w:val="00EE77AA"/>
    <w:rsid w:val="00EE7D3C"/>
    <w:rsid w:val="00EF3CE1"/>
    <w:rsid w:val="00F029E7"/>
    <w:rsid w:val="00F05563"/>
    <w:rsid w:val="00F0692B"/>
    <w:rsid w:val="00F306D1"/>
    <w:rsid w:val="00F3434E"/>
    <w:rsid w:val="00F3581F"/>
    <w:rsid w:val="00F42F03"/>
    <w:rsid w:val="00F5719B"/>
    <w:rsid w:val="00F60321"/>
    <w:rsid w:val="00F60E8B"/>
    <w:rsid w:val="00F762A2"/>
    <w:rsid w:val="00F7789F"/>
    <w:rsid w:val="00F9135B"/>
    <w:rsid w:val="00FA1522"/>
    <w:rsid w:val="00FB0FE7"/>
    <w:rsid w:val="00FB224F"/>
    <w:rsid w:val="00FB3451"/>
    <w:rsid w:val="00FC68DF"/>
    <w:rsid w:val="00FD2CF5"/>
    <w:rsid w:val="00FD572E"/>
    <w:rsid w:val="00FE09AA"/>
    <w:rsid w:val="00FE24B7"/>
    <w:rsid w:val="00FF16B6"/>
    <w:rsid w:val="00FF1B12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115249-3659-4298-9CCC-1D5D478F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tabs>
        <w:tab w:val="decimal" w:pos="4111"/>
        <w:tab w:val="decimal" w:pos="5954"/>
        <w:tab w:val="decimal" w:pos="8080"/>
      </w:tabs>
      <w:spacing w:before="60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decimal" w:pos="4111"/>
        <w:tab w:val="decimal" w:pos="5954"/>
        <w:tab w:val="decimal" w:pos="8080"/>
      </w:tabs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E615E1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widowControl w:val="0"/>
      <w:spacing w:before="60"/>
      <w:outlineLvl w:val="7"/>
    </w:pPr>
    <w:rPr>
      <w:snapToGrid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  <w:lang w:val="uk-UA"/>
    </w:rPr>
  </w:style>
  <w:style w:type="paragraph" w:customStyle="1" w:styleId="right">
    <w:name w:val="right"/>
    <w:basedOn w:val="a"/>
    <w:rsid w:val="00E615E1"/>
    <w:pPr>
      <w:spacing w:after="60"/>
      <w:jc w:val="right"/>
    </w:pPr>
    <w:rPr>
      <w:i/>
      <w:sz w:val="16"/>
      <w:lang w:val="uk-UA"/>
    </w:rPr>
  </w:style>
  <w:style w:type="paragraph" w:customStyle="1" w:styleId="10">
    <w:name w:val="Обычный1"/>
    <w:basedOn w:val="a"/>
    <w:rsid w:val="00E615E1"/>
    <w:rPr>
      <w:sz w:val="18"/>
      <w:lang w:val="uk-UA"/>
    </w:rPr>
  </w:style>
  <w:style w:type="table" w:styleId="a9">
    <w:name w:val="Table Grid"/>
    <w:basedOn w:val="a1"/>
    <w:rsid w:val="00E615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rsid w:val="00B02B99"/>
    <w:pPr>
      <w:ind w:firstLine="284"/>
      <w:jc w:val="both"/>
    </w:pPr>
    <w:rPr>
      <w:spacing w:val="-2"/>
      <w:lang w:val="uk-UA"/>
    </w:rPr>
  </w:style>
  <w:style w:type="paragraph" w:styleId="30">
    <w:name w:val="Body Text Indent 3"/>
    <w:basedOn w:val="a"/>
    <w:rsid w:val="00B02B99"/>
    <w:pPr>
      <w:spacing w:after="120"/>
      <w:ind w:left="283"/>
    </w:pPr>
    <w:rPr>
      <w:sz w:val="16"/>
      <w:szCs w:val="16"/>
      <w:lang w:val="uk-UA"/>
    </w:rPr>
  </w:style>
  <w:style w:type="paragraph" w:styleId="ab">
    <w:name w:val="Balloon Text"/>
    <w:basedOn w:val="a"/>
    <w:semiHidden/>
    <w:rsid w:val="00947BF6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"/>
    <w:basedOn w:val="a"/>
    <w:rsid w:val="00C5516E"/>
    <w:rPr>
      <w:rFonts w:ascii="Verdana" w:hAnsi="Verdana" w:cs="Verdana"/>
      <w:lang w:val="en-US" w:eastAsia="en-US"/>
    </w:rPr>
  </w:style>
  <w:style w:type="character" w:customStyle="1" w:styleId="hps">
    <w:name w:val="hps"/>
    <w:basedOn w:val="a0"/>
    <w:rsid w:val="00246FC4"/>
  </w:style>
  <w:style w:type="paragraph" w:customStyle="1" w:styleId="Default">
    <w:name w:val="Default"/>
    <w:rsid w:val="005239C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d">
    <w:name w:val="Hyperlink"/>
    <w:uiPriority w:val="99"/>
    <w:unhideWhenUsed/>
    <w:rsid w:val="005239CE"/>
    <w:rPr>
      <w:color w:val="0563C1"/>
      <w:u w:val="single"/>
    </w:rPr>
  </w:style>
  <w:style w:type="character" w:customStyle="1" w:styleId="a6">
    <w:name w:val="Нижний колонтитул Знак"/>
    <w:link w:val="a5"/>
    <w:uiPriority w:val="99"/>
    <w:rsid w:val="002D4F70"/>
    <w:rPr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7B31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7B31AC"/>
    <w:rPr>
      <w:rFonts w:ascii="Courier New" w:hAnsi="Courier New" w:cs="Courier New"/>
    </w:rPr>
  </w:style>
  <w:style w:type="character" w:customStyle="1" w:styleId="a4">
    <w:name w:val="Верхний колонтитул Знак"/>
    <w:basedOn w:val="a0"/>
    <w:link w:val="a3"/>
    <w:uiPriority w:val="99"/>
    <w:rsid w:val="00CD2F27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9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2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56D02-22DB-4A09-B2E9-04AE55FB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3</Pages>
  <Words>6708</Words>
  <Characters>3824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Tipografy</Company>
  <LinksUpToDate>false</LinksUpToDate>
  <CharactersWithSpaces>10511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Zhabina</dc:creator>
  <cp:keywords/>
  <cp:lastModifiedBy>Y.Loseva</cp:lastModifiedBy>
  <cp:revision>29</cp:revision>
  <cp:lastPrinted>2016-11-28T09:09:00Z</cp:lastPrinted>
  <dcterms:created xsi:type="dcterms:W3CDTF">2016-11-15T14:33:00Z</dcterms:created>
  <dcterms:modified xsi:type="dcterms:W3CDTF">2016-12-08T10:41:00Z</dcterms:modified>
</cp:coreProperties>
</file>