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13E" w:rsidRPr="00F128EF" w:rsidRDefault="00B62FAC" w:rsidP="00AF4A68">
      <w:pPr>
        <w:ind w:firstLine="720"/>
        <w:jc w:val="center"/>
        <w:rPr>
          <w:b/>
          <w:sz w:val="28"/>
          <w:szCs w:val="28"/>
        </w:rPr>
      </w:pPr>
      <w:r w:rsidRPr="006C59D5">
        <w:rPr>
          <w:b/>
          <w:sz w:val="28"/>
          <w:szCs w:val="28"/>
        </w:rPr>
        <w:t xml:space="preserve">Використання </w:t>
      </w:r>
      <w:r w:rsidR="00AD713E" w:rsidRPr="006C59D5">
        <w:rPr>
          <w:b/>
          <w:sz w:val="28"/>
          <w:szCs w:val="28"/>
        </w:rPr>
        <w:t xml:space="preserve">найманої праці </w:t>
      </w:r>
      <w:r w:rsidRPr="006C59D5">
        <w:rPr>
          <w:b/>
          <w:sz w:val="28"/>
          <w:szCs w:val="28"/>
        </w:rPr>
        <w:t xml:space="preserve">на підприємствах </w:t>
      </w:r>
      <w:r w:rsidR="00AD713E" w:rsidRPr="006C59D5">
        <w:rPr>
          <w:b/>
          <w:sz w:val="28"/>
          <w:szCs w:val="28"/>
        </w:rPr>
        <w:t>у 20</w:t>
      </w:r>
      <w:r w:rsidR="00AD713E" w:rsidRPr="006C59D5">
        <w:rPr>
          <w:b/>
          <w:sz w:val="28"/>
          <w:szCs w:val="28"/>
          <w:lang w:val="ru-RU"/>
        </w:rPr>
        <w:t>1</w:t>
      </w:r>
      <w:r w:rsidR="00F2425B">
        <w:rPr>
          <w:b/>
          <w:sz w:val="28"/>
          <w:szCs w:val="28"/>
          <w:lang w:val="ru-RU"/>
        </w:rPr>
        <w:t>5</w:t>
      </w:r>
      <w:r w:rsidR="00AD713E" w:rsidRPr="006C59D5">
        <w:rPr>
          <w:b/>
          <w:sz w:val="28"/>
          <w:szCs w:val="28"/>
        </w:rPr>
        <w:t>р.</w:t>
      </w:r>
    </w:p>
    <w:p w:rsidR="003425E8" w:rsidRDefault="003425E8" w:rsidP="002418C9">
      <w:pPr>
        <w:ind w:firstLine="708"/>
        <w:jc w:val="both"/>
        <w:rPr>
          <w:sz w:val="28"/>
          <w:szCs w:val="28"/>
        </w:rPr>
      </w:pPr>
    </w:p>
    <w:p w:rsidR="00E54891" w:rsidRPr="00382063" w:rsidRDefault="00E54891" w:rsidP="008155DB">
      <w:pPr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За даними вибіркового обстеження населення (домогосподарств) із питань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 xml:space="preserve"> економічної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 xml:space="preserve"> активності,</w:t>
      </w:r>
      <w:r w:rsidR="00E00957"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 xml:space="preserve"> </w:t>
      </w:r>
      <w:r w:rsidR="00E00957"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>кількість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 xml:space="preserve"> зайнятого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 xml:space="preserve"> населення 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 xml:space="preserve">віком </w:t>
      </w:r>
      <w:r w:rsidR="00E00957">
        <w:rPr>
          <w:sz w:val="28"/>
          <w:szCs w:val="28"/>
        </w:rPr>
        <w:t xml:space="preserve">  </w:t>
      </w:r>
      <w:r w:rsidRPr="00382063">
        <w:rPr>
          <w:sz w:val="28"/>
          <w:szCs w:val="28"/>
        </w:rPr>
        <w:t>15</w:t>
      </w:r>
      <w:r w:rsidR="000F0870">
        <w:rPr>
          <w:sz w:val="28"/>
          <w:szCs w:val="28"/>
        </w:rPr>
        <w:t>–</w:t>
      </w:r>
      <w:r w:rsidRPr="00382063">
        <w:rPr>
          <w:sz w:val="28"/>
          <w:szCs w:val="28"/>
        </w:rPr>
        <w:t>70</w:t>
      </w:r>
      <w:r w:rsidR="00E00957">
        <w:rPr>
          <w:sz w:val="28"/>
          <w:szCs w:val="28"/>
        </w:rPr>
        <w:t> </w:t>
      </w:r>
      <w:r w:rsidRPr="00382063">
        <w:rPr>
          <w:sz w:val="28"/>
          <w:szCs w:val="28"/>
        </w:rPr>
        <w:t>років у 201</w:t>
      </w:r>
      <w:r w:rsidRPr="00382063">
        <w:rPr>
          <w:sz w:val="28"/>
          <w:szCs w:val="28"/>
          <w:lang w:val="ru-RU"/>
        </w:rPr>
        <w:t>5</w:t>
      </w:r>
      <w:r w:rsidRPr="00382063">
        <w:rPr>
          <w:sz w:val="28"/>
          <w:szCs w:val="28"/>
        </w:rPr>
        <w:t>р. становила 16,</w:t>
      </w:r>
      <w:r w:rsidRPr="00382063">
        <w:rPr>
          <w:sz w:val="28"/>
          <w:szCs w:val="28"/>
          <w:lang w:val="ru-RU"/>
        </w:rPr>
        <w:t>4</w:t>
      </w:r>
      <w:r w:rsidRPr="00382063">
        <w:rPr>
          <w:sz w:val="28"/>
          <w:szCs w:val="28"/>
        </w:rPr>
        <w:t xml:space="preserve"> млн. осіб, або 56,</w:t>
      </w:r>
      <w:r w:rsidRPr="00382063">
        <w:rPr>
          <w:sz w:val="28"/>
          <w:szCs w:val="28"/>
          <w:lang w:val="ru-RU"/>
        </w:rPr>
        <w:t>7</w:t>
      </w:r>
      <w:r w:rsidRPr="00382063">
        <w:rPr>
          <w:sz w:val="28"/>
          <w:szCs w:val="28"/>
        </w:rPr>
        <w:t>% населення відповідного віку.</w:t>
      </w:r>
    </w:p>
    <w:p w:rsidR="00E54891" w:rsidRPr="00382063" w:rsidRDefault="00E54891" w:rsidP="00B1129C">
      <w:pPr>
        <w:ind w:firstLine="708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Кількість найманих працівників підприємств, установ, організацій (далі – підприємства) у 2015р. становила 9,5 млн. осіб, або 57,8% усіх зайнятих. 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2282"/>
        <w:gridCol w:w="1712"/>
      </w:tblGrid>
      <w:tr w:rsidR="00E54891" w:rsidRPr="00382063" w:rsidTr="00611506">
        <w:trPr>
          <w:trHeight w:val="804"/>
        </w:trPr>
        <w:tc>
          <w:tcPr>
            <w:tcW w:w="5103" w:type="dxa"/>
            <w:tcBorders>
              <w:top w:val="single" w:sz="4" w:space="0" w:color="auto"/>
              <w:left w:val="nil"/>
            </w:tcBorders>
          </w:tcPr>
          <w:p w:rsidR="00E54891" w:rsidRPr="00382063" w:rsidRDefault="00E54891" w:rsidP="0095272B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54891" w:rsidRPr="00382063" w:rsidRDefault="00E54891" w:rsidP="0095272B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54891" w:rsidRPr="00382063" w:rsidRDefault="00E54891" w:rsidP="0095272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4891" w:rsidRPr="00382063" w:rsidRDefault="00E54891" w:rsidP="0095272B">
            <w:pPr>
              <w:jc w:val="center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Усього, тис. 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54891" w:rsidRPr="00382063" w:rsidRDefault="00E54891" w:rsidP="0095272B">
            <w:pPr>
              <w:jc w:val="center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У % до підсумку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spacing w:before="20" w:after="20"/>
              <w:rPr>
                <w:b/>
                <w:sz w:val="24"/>
                <w:szCs w:val="24"/>
              </w:rPr>
            </w:pPr>
            <w:r w:rsidRPr="00382063"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382063">
              <w:rPr>
                <w:b/>
                <w:bCs/>
                <w:sz w:val="24"/>
                <w:szCs w:val="24"/>
                <w:lang w:val="ru-RU"/>
              </w:rPr>
              <w:t>9 501,1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382063">
              <w:rPr>
                <w:b/>
                <w:bCs/>
                <w:sz w:val="24"/>
                <w:szCs w:val="24"/>
                <w:lang w:val="ru-RU"/>
              </w:rPr>
              <w:t>100,0</w:t>
            </w:r>
          </w:p>
        </w:tc>
      </w:tr>
      <w:tr w:rsidR="00E54891" w:rsidRPr="00382063" w:rsidTr="00611506">
        <w:trPr>
          <w:trHeight w:hRule="exact" w:val="64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spacing w:before="20" w:after="20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568,5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6,0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Промисловість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2 171,6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22,8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Будівництво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248,1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2,6</w:t>
            </w:r>
          </w:p>
        </w:tc>
      </w:tr>
      <w:tr w:rsidR="00E54891" w:rsidRPr="00382063" w:rsidTr="00611506">
        <w:trPr>
          <w:trHeight w:hRule="exact" w:val="57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 xml:space="preserve">Оптова та роздрібна торгівля; ремонт автотранспортних засобів і мотоциклів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887,0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9,3</w:t>
            </w:r>
          </w:p>
        </w:tc>
      </w:tr>
      <w:tr w:rsidR="00E54891" w:rsidRPr="00382063" w:rsidTr="00611506">
        <w:trPr>
          <w:trHeight w:hRule="exact" w:val="5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0C3ABD" w:rsidRDefault="00E54891" w:rsidP="0095272B">
            <w:pPr>
              <w:rPr>
                <w:sz w:val="24"/>
                <w:szCs w:val="24"/>
              </w:rPr>
            </w:pPr>
            <w:r w:rsidRPr="000C3ABD">
              <w:rPr>
                <w:sz w:val="24"/>
                <w:szCs w:val="24"/>
              </w:rPr>
              <w:t>Транспорт, складське господарство, поштова та кур</w:t>
            </w:r>
            <w:r w:rsidR="000C3ABD" w:rsidRPr="000C3ABD">
              <w:rPr>
                <w:sz w:val="24"/>
                <w:szCs w:val="24"/>
              </w:rPr>
              <w:t>’</w:t>
            </w:r>
            <w:r w:rsidRPr="000C3ABD">
              <w:rPr>
                <w:sz w:val="24"/>
                <w:szCs w:val="24"/>
              </w:rPr>
              <w:t>єрська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7,4</w:t>
            </w:r>
          </w:p>
        </w:tc>
      </w:tr>
      <w:tr w:rsidR="00E54891" w:rsidRPr="00382063" w:rsidTr="00611506">
        <w:trPr>
          <w:trHeight w:hRule="exact" w:val="55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0C3ABD" w:rsidRDefault="00E54891" w:rsidP="0095272B">
            <w:pPr>
              <w:rPr>
                <w:sz w:val="24"/>
                <w:szCs w:val="24"/>
              </w:rPr>
            </w:pPr>
            <w:r w:rsidRPr="000C3ABD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1,0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170,4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1,8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223,2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2,4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156,2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1,6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317,8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3,4</w:t>
            </w:r>
          </w:p>
        </w:tc>
      </w:tr>
      <w:tr w:rsidR="00E54891" w:rsidRPr="00382063" w:rsidTr="00611506">
        <w:trPr>
          <w:trHeight w:hRule="exact" w:val="58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248,8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2,6</w:t>
            </w:r>
          </w:p>
        </w:tc>
      </w:tr>
      <w:tr w:rsidR="00E54891" w:rsidRPr="00382063" w:rsidTr="00611506">
        <w:trPr>
          <w:trHeight w:hRule="exact" w:val="56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  <w:vertAlign w:val="superscript"/>
              </w:rPr>
            </w:pPr>
            <w:r w:rsidRPr="00382063">
              <w:rPr>
                <w:sz w:val="24"/>
                <w:szCs w:val="24"/>
              </w:rPr>
              <w:t>Державне управління й оборона; обов</w:t>
            </w:r>
            <w:r w:rsidR="000C3ABD" w:rsidRPr="00382063">
              <w:rPr>
                <w:sz w:val="24"/>
                <w:szCs w:val="24"/>
              </w:rPr>
              <w:t>’</w:t>
            </w:r>
            <w:r w:rsidRPr="00382063">
              <w:rPr>
                <w:sz w:val="24"/>
                <w:szCs w:val="24"/>
              </w:rPr>
              <w:t>язкове</w:t>
            </w:r>
            <w:r w:rsidRPr="00382063">
              <w:t xml:space="preserve"> </w:t>
            </w:r>
            <w:r w:rsidRPr="00382063">
              <w:rPr>
                <w:sz w:val="24"/>
                <w:szCs w:val="24"/>
              </w:rPr>
              <w:t>соціальне страхування</w:t>
            </w:r>
            <w:r w:rsidRPr="00382063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974,5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10,3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Освіта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1 478,3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15,6</w:t>
            </w:r>
          </w:p>
        </w:tc>
      </w:tr>
      <w:tr w:rsidR="00E54891" w:rsidRPr="00382063" w:rsidTr="00611506">
        <w:trPr>
          <w:trHeight w:hRule="exact" w:val="57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Охорона здоров’я та надання соціальної допомоги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1 007,9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10,6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174,2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1,8</w:t>
            </w:r>
          </w:p>
        </w:tc>
      </w:tr>
      <w:tr w:rsidR="00E54891" w:rsidRPr="00382063" w:rsidTr="00611506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891" w:rsidRPr="00382063" w:rsidRDefault="00E54891" w:rsidP="0095272B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891" w:rsidRPr="00382063" w:rsidRDefault="00E54891" w:rsidP="0095272B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891" w:rsidRPr="00382063" w:rsidRDefault="00E54891" w:rsidP="0095272B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0,8</w:t>
            </w:r>
          </w:p>
        </w:tc>
      </w:tr>
    </w:tbl>
    <w:p w:rsidR="00E54891" w:rsidRPr="00382063" w:rsidRDefault="00E54891" w:rsidP="000C3ABD">
      <w:pPr>
        <w:spacing w:before="60"/>
        <w:ind w:firstLine="539"/>
        <w:jc w:val="both"/>
        <w:rPr>
          <w:sz w:val="22"/>
          <w:szCs w:val="22"/>
        </w:rPr>
      </w:pPr>
      <w:r w:rsidRPr="00382063">
        <w:rPr>
          <w:vertAlign w:val="superscript"/>
        </w:rPr>
        <w:t xml:space="preserve">1 </w:t>
      </w:r>
      <w:r w:rsidRPr="00382063">
        <w:t>З урахуванням кількості тимчасових працівників, які були залучені до підготовки та проведення виборів депутатів місцевих рад та сільських, селищних, міських голів.</w:t>
      </w:r>
    </w:p>
    <w:p w:rsidR="00E54891" w:rsidRPr="00382063" w:rsidRDefault="00E54891" w:rsidP="00E54891">
      <w:pPr>
        <w:ind w:firstLine="540"/>
        <w:jc w:val="both"/>
        <w:rPr>
          <w:sz w:val="28"/>
          <w:szCs w:val="28"/>
        </w:rPr>
      </w:pPr>
    </w:p>
    <w:p w:rsidR="00E54891" w:rsidRPr="00382063" w:rsidRDefault="00E54891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Серед найманих працівників майже кожний четвертий працював у промисловості, шостий – в освіті, дев</w:t>
      </w:r>
      <w:r w:rsidR="000C3ABD"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ятий – в охороні здоров</w:t>
      </w:r>
      <w:r w:rsidR="000C3ABD"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 та надання соціальної допомоги, кожний десятий – в державному управлінн</w:t>
      </w:r>
      <w:r w:rsidR="000C3ABD"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й обороні, обов</w:t>
      </w:r>
      <w:r w:rsidR="000C3ABD"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язковому соціальному страхуванні, кожний одинадцятий – в оптовій та роздрібній торгівлі; ремонт</w:t>
      </w:r>
      <w:r w:rsidR="000C3ABD"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автотранспортних</w:t>
      </w:r>
      <w:bookmarkStart w:id="0" w:name="_GoBack"/>
      <w:bookmarkEnd w:id="0"/>
      <w:r w:rsidRPr="00382063">
        <w:rPr>
          <w:sz w:val="28"/>
          <w:szCs w:val="28"/>
        </w:rPr>
        <w:t xml:space="preserve"> засобів та мотоциклів, </w:t>
      </w:r>
      <w:r w:rsidRPr="00382063">
        <w:rPr>
          <w:sz w:val="28"/>
          <w:szCs w:val="28"/>
        </w:rPr>
        <w:lastRenderedPageBreak/>
        <w:t>решта – в інших видах економічної діяльності.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Середньооблікова кількість штатних працівників підприємств</w:t>
      </w:r>
      <w:r w:rsidRPr="00AA2EB8">
        <w:rPr>
          <w:rStyle w:val="a6"/>
          <w:sz w:val="22"/>
          <w:szCs w:val="22"/>
        </w:rPr>
        <w:footnoteReference w:id="1"/>
      </w:r>
      <w:r w:rsidRPr="00382063">
        <w:rPr>
          <w:sz w:val="28"/>
          <w:szCs w:val="28"/>
        </w:rPr>
        <w:t xml:space="preserve"> у 2015р. становила 8,1 млн. осіб. Крім того, на умовах зовнішнього сумісництва було зайнято 248,8 тис. осіб, а за цивільно-правовими договорами – 242,2 тис. осіб.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За статевою ознакою кількість штатних працівників у 2015р. розподілялася майже порівну. Проте за сферами прикладання праці існують суттєві відмінності. 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Так, жіноча праця була більш поширена у поштовій та кур’єрській діяльності, де питома вага жінок у загальній кількості штатних працівників становила 86,4%, у сфері охорони здоров’я та надання соціальної допомоги (82,0%), освіті (76,9%), функціюванні бібліотек, архівів, музеїв та інших закладів культури (79,3%), текстильному виробництві, виробництві одягу, шкіри, виробів зі шкіри та інших матеріалів (76,6%), сфері творчості, мистецтва та розваг (67,3%), тимчасовому розміщуванні й організації харчування (66,6%), фінансовій і страховій діяльності (66,1%).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Традиційно чоловічими сферами прикладання праці залишаються будівництво (80,1% у загальній кількості штатних працівників), добувна промисловість і розроблення </w:t>
      </w:r>
      <w:proofErr w:type="spellStart"/>
      <w:r w:rsidRPr="00382063">
        <w:rPr>
          <w:sz w:val="28"/>
          <w:szCs w:val="28"/>
        </w:rPr>
        <w:t>карʼєрів</w:t>
      </w:r>
      <w:proofErr w:type="spellEnd"/>
      <w:r w:rsidRPr="00382063">
        <w:rPr>
          <w:sz w:val="28"/>
          <w:szCs w:val="28"/>
        </w:rPr>
        <w:t xml:space="preserve"> (76,0%), виробництво меблів, іншої продукції, ремонт і монтаж машин і </w:t>
      </w:r>
      <w:proofErr w:type="spellStart"/>
      <w:r w:rsidRPr="00382063">
        <w:rPr>
          <w:sz w:val="28"/>
          <w:szCs w:val="28"/>
        </w:rPr>
        <w:t>устатковання</w:t>
      </w:r>
      <w:proofErr w:type="spellEnd"/>
      <w:r w:rsidRPr="00382063">
        <w:rPr>
          <w:sz w:val="28"/>
          <w:szCs w:val="28"/>
        </w:rPr>
        <w:t xml:space="preserve"> (72,0%), діяльність у сфері транспорту (71,2%), сільське господарство, лісове господарство та рибне господарство (70,8%), металургійне виробництво, виробництво готових металевих виробів, крім машин і </w:t>
      </w:r>
      <w:proofErr w:type="spellStart"/>
      <w:r w:rsidRPr="00382063">
        <w:rPr>
          <w:sz w:val="28"/>
          <w:szCs w:val="28"/>
        </w:rPr>
        <w:t>устатковання</w:t>
      </w:r>
      <w:proofErr w:type="spellEnd"/>
      <w:r w:rsidRPr="00382063">
        <w:rPr>
          <w:sz w:val="28"/>
          <w:szCs w:val="28"/>
        </w:rPr>
        <w:t xml:space="preserve"> (69,9%), складське господарство та допоміжна діяльність у сфері транспорту (69,6%), виробництво машин і </w:t>
      </w:r>
      <w:proofErr w:type="spellStart"/>
      <w:r w:rsidRPr="00382063">
        <w:rPr>
          <w:sz w:val="28"/>
          <w:szCs w:val="28"/>
        </w:rPr>
        <w:t>устатковання</w:t>
      </w:r>
      <w:proofErr w:type="spellEnd"/>
      <w:r w:rsidRPr="00382063">
        <w:rPr>
          <w:sz w:val="28"/>
          <w:szCs w:val="28"/>
        </w:rPr>
        <w:t xml:space="preserve"> (69,3%), виробництво гумових і пластмасових виробів, іншої неметалевої мінеральної продукції (69,2%). 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У більшості видів економічної діяльності це спричинено умовами праці, зокрема забороною використання праці жінок на особливо важких та шкідливих роботах. Також чоловіки були зайняті переважно на посадах керівників, а праця жінок більше застосовувалася на посадах службовців і технічного персоналу.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b/>
          <w:sz w:val="28"/>
          <w:szCs w:val="28"/>
        </w:rPr>
        <w:t>Мобільність робочої сили.</w:t>
      </w:r>
      <w:r w:rsidRPr="00382063">
        <w:rPr>
          <w:sz w:val="28"/>
          <w:szCs w:val="28"/>
        </w:rPr>
        <w:t xml:space="preserve"> Динаміка зайнятості працівників формується під впливом руху кадрів, який характеризується рівнем мобільності. 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Найбільш високий рівень мобільності у 2015р. спостерігався у сільському господарстві, оптовій та роздрібній торгівлі, сфері тимчасового розміщування й організації харчування, діяльності у сфері </w:t>
      </w:r>
      <w:r w:rsidRPr="00382063">
        <w:rPr>
          <w:sz w:val="28"/>
          <w:szCs w:val="28"/>
        </w:rPr>
        <w:lastRenderedPageBreak/>
        <w:t xml:space="preserve">адміністративного та допоміжного обслуговування, де кількість вибулих і прийнятих перевищувала середньооблікову кількість штатних працівників на 2,5%–13,3%. Також високий коефіцієнт мобільності зафіксований у фінансовій та страховій діяльності (87,3%), на підприємствах із виробництва харчових продуктів, напоїв та тютюнових виробів (85,6%), у будівництві (80,9%). 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Серед працівників більш високий рівень мобільності спостерігався у чоловіків. Коефіцієнти обороту робочої сили для чоловіків як за рівнем прийому (28,6%) так і за рівнем звільнення (36,9%) переважали аналогічні показники для жінок (відповідно 20,0% та 24,4%).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Як і в попередні роки, у 2015р. перевищення кількості вибулих працівників порівняно з прийнятими спостерігалося в усіх видах економічної діяльності. Із загальної кількості вибулих переважна більшість працівників (85,9%) залишили робочі місця за власним бажанням. При цьому частка працівників, звільнених у зв’язку зі скороченням штатів, по відношенню до середньооблікової кількості  штатних працівників збільшилася порівняно з 2014р. на 0,6 </w:t>
      </w:r>
      <w:proofErr w:type="spellStart"/>
      <w:r w:rsidRPr="00382063">
        <w:rPr>
          <w:sz w:val="28"/>
          <w:szCs w:val="28"/>
        </w:rPr>
        <w:t>в.п</w:t>
      </w:r>
      <w:proofErr w:type="spellEnd"/>
      <w:r w:rsidRPr="00382063">
        <w:rPr>
          <w:sz w:val="28"/>
          <w:szCs w:val="28"/>
        </w:rPr>
        <w:t xml:space="preserve">. 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За адміністративними даними державної служби зайнятості, кількість вільних робочих місць (вакантних посад), заявлених роботодавцями, на кінець 2015р. становила 25,9 тис., що на 26,6% менше, ніж на кінець 2014р.</w:t>
      </w:r>
    </w:p>
    <w:p w:rsidR="00AF4A68" w:rsidRPr="00382063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Найбільшою була потреба роботодавців у кваліфікованих робітниках з інструментом (20,0% від загальної кількості вільних робочих місць (вакантних посад) на кінець 2015р.), а найменшою – у кваліфікованих робітниках сільського та лісового господарств, риборозведення та рибальства (1,3%).</w:t>
      </w:r>
    </w:p>
    <w:p w:rsidR="00C649F6" w:rsidRPr="00382063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Упродовж 2015р. кожен працівник у середньому відпрацював 1641 годину, що становило 86,7% фонду робочого часу, встановленого на підприємствах, проти 1628 годин та 86,2% у 2014 році.</w:t>
      </w:r>
    </w:p>
    <w:p w:rsidR="00C649F6" w:rsidRPr="00382063" w:rsidRDefault="00C649F6" w:rsidP="00915FD2">
      <w:pPr>
        <w:widowControl/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Використання робочої сили у 2015р. характеризувалося незначним зростанням ефективності використання робочого часу порівняно з попереднім роком. </w:t>
      </w:r>
    </w:p>
    <w:p w:rsidR="00C649F6" w:rsidRDefault="00C649F6" w:rsidP="00915FD2">
      <w:pPr>
        <w:tabs>
          <w:tab w:val="left" w:pos="915"/>
        </w:tabs>
        <w:spacing w:line="252" w:lineRule="auto"/>
        <w:ind w:firstLine="709"/>
        <w:jc w:val="both"/>
        <w:rPr>
          <w:sz w:val="28"/>
          <w:szCs w:val="28"/>
        </w:rPr>
      </w:pPr>
      <w:bookmarkStart w:id="1" w:name="OLE_LINK1"/>
      <w:bookmarkStart w:id="2" w:name="OLE_LINK2"/>
      <w:r w:rsidRPr="00382063">
        <w:rPr>
          <w:sz w:val="28"/>
          <w:szCs w:val="28"/>
        </w:rPr>
        <w:t>Так, частка працівників, які знаходились у відпустках без збереження заробітної плати (на період припинення виконання робіт), порівняно з попереднім роком</w:t>
      </w:r>
      <w:r w:rsidRPr="00382063">
        <w:rPr>
          <w:sz w:val="28"/>
          <w:szCs w:val="28"/>
          <w:lang w:val="ru-RU"/>
        </w:rPr>
        <w:t xml:space="preserve"> </w:t>
      </w:r>
      <w:r w:rsidRPr="00382063">
        <w:rPr>
          <w:sz w:val="28"/>
          <w:szCs w:val="28"/>
        </w:rPr>
        <w:t>зменшилась і становила 0,8%, або 62,6 тис. осіб. Питома вага працівників, переведених з економічних причин на неповний робочий день (тиждень) також зменшилась на 0,7 </w:t>
      </w:r>
      <w:proofErr w:type="spellStart"/>
      <w:r w:rsidRPr="00382063">
        <w:rPr>
          <w:sz w:val="28"/>
          <w:szCs w:val="28"/>
        </w:rPr>
        <w:t>в.п</w:t>
      </w:r>
      <w:proofErr w:type="spellEnd"/>
      <w:r w:rsidRPr="00382063">
        <w:rPr>
          <w:sz w:val="28"/>
          <w:szCs w:val="28"/>
        </w:rPr>
        <w:t>. і становила 9,2%, або 742,1 тис. осіб, половина з них – працівники промисловості (391,9 тис. осіб), ще майже третина (214,2 тис. осіб) працювали у транспорті, складському господарстві, поштовій та кур’єрській діяльності.</w:t>
      </w:r>
    </w:p>
    <w:p w:rsidR="00E00957" w:rsidRDefault="00E00957" w:rsidP="00B1129C">
      <w:pPr>
        <w:tabs>
          <w:tab w:val="left" w:pos="915"/>
        </w:tabs>
        <w:ind w:firstLine="709"/>
        <w:jc w:val="both"/>
        <w:rPr>
          <w:sz w:val="28"/>
          <w:szCs w:val="28"/>
        </w:rPr>
      </w:pPr>
    </w:p>
    <w:p w:rsidR="00C649F6" w:rsidRPr="00382063" w:rsidRDefault="00C649F6" w:rsidP="00C649F6">
      <w:pPr>
        <w:pStyle w:val="210"/>
        <w:ind w:firstLine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82063">
        <w:rPr>
          <w:rFonts w:ascii="Arial" w:hAnsi="Arial" w:cs="Arial"/>
          <w:b/>
          <w:sz w:val="24"/>
          <w:szCs w:val="24"/>
        </w:rPr>
        <w:lastRenderedPageBreak/>
        <w:t>Рівень вимушеної неповної зайнятості за окремими видами</w:t>
      </w:r>
    </w:p>
    <w:p w:rsidR="00C649F6" w:rsidRPr="00382063" w:rsidRDefault="00C649F6" w:rsidP="00C649F6">
      <w:pPr>
        <w:pStyle w:val="210"/>
        <w:ind w:firstLine="0"/>
        <w:jc w:val="center"/>
        <w:outlineLvl w:val="0"/>
      </w:pPr>
      <w:r w:rsidRPr="00382063">
        <w:rPr>
          <w:rFonts w:ascii="Arial" w:hAnsi="Arial" w:cs="Arial"/>
          <w:b/>
          <w:sz w:val="24"/>
          <w:szCs w:val="24"/>
        </w:rPr>
        <w:t>економічної діяльності у 2015 році</w:t>
      </w:r>
    </w:p>
    <w:p w:rsidR="00C649F6" w:rsidRPr="00382063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</w:p>
    <w:p w:rsidR="00C649F6" w:rsidRPr="00382063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  <w:r w:rsidRPr="00382063">
        <w:rPr>
          <w:rFonts w:ascii="Arial" w:hAnsi="Arial" w:cs="Arial"/>
          <w:sz w:val="22"/>
          <w:szCs w:val="22"/>
        </w:rPr>
        <w:t xml:space="preserve">(% до середньооблікової кількості штатних </w:t>
      </w:r>
    </w:p>
    <w:p w:rsidR="00C649F6" w:rsidRPr="00382063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  <w:r w:rsidRPr="00382063">
        <w:rPr>
          <w:rFonts w:ascii="Arial" w:hAnsi="Arial" w:cs="Arial"/>
          <w:sz w:val="22"/>
          <w:szCs w:val="22"/>
        </w:rPr>
        <w:t>працівників відповідного виду діяльності)</w:t>
      </w:r>
    </w:p>
    <w:p w:rsidR="00C649F6" w:rsidRPr="00382063" w:rsidRDefault="007737EE" w:rsidP="00C649F6">
      <w:pPr>
        <w:jc w:val="both"/>
        <w:rPr>
          <w:sz w:val="16"/>
          <w:szCs w:val="16"/>
        </w:rPr>
      </w:pPr>
      <w:r w:rsidRPr="00382063">
        <w:rPr>
          <w:noProof/>
          <w:lang w:eastAsia="uk-UA"/>
        </w:rPr>
        <w:drawing>
          <wp:inline distT="0" distB="0" distL="0" distR="0">
            <wp:extent cx="5984875" cy="366966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37B8E" w:rsidRPr="00382063" w:rsidRDefault="00C649F6" w:rsidP="00915FD2">
      <w:pPr>
        <w:spacing w:before="120"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Зважаючи на обсяги виконаних робіт (послуг) і випуску продукції, рівень завантаження працівників у 2015р. відповідно до встановленої тривалості робочого часу в цілому по економіці становив 98,0% штатної кількості. Серед видів економічної діяльності найнижчим він був у поштовій та кур’єрській діяльності – 78,3% та водному транспорті – 85,0%.</w:t>
      </w:r>
    </w:p>
    <w:p w:rsidR="00106DA2" w:rsidRPr="00382063" w:rsidRDefault="00106DA2" w:rsidP="00915FD2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b/>
          <w:sz w:val="28"/>
          <w:szCs w:val="28"/>
        </w:rPr>
        <w:t>Оплата праці працівників.</w:t>
      </w:r>
      <w:r w:rsidRPr="00382063">
        <w:rPr>
          <w:sz w:val="28"/>
          <w:szCs w:val="28"/>
        </w:rPr>
        <w:t xml:space="preserve"> Важливим аспектом використання робочої сили є оплата її праці. Середньомісячна номінальна заробітна плата штатного працівника у 2015р. порівняно з 20</w:t>
      </w:r>
      <w:r w:rsidRPr="00382063">
        <w:rPr>
          <w:sz w:val="28"/>
          <w:szCs w:val="28"/>
          <w:lang w:val="ru-RU"/>
        </w:rPr>
        <w:t>14</w:t>
      </w:r>
      <w:r w:rsidRPr="00382063">
        <w:rPr>
          <w:sz w:val="28"/>
          <w:szCs w:val="28"/>
        </w:rPr>
        <w:t>р. зросла на 20,5% і становила 4195 грн. (для порівняння у 2014р. зростання показника становило 6%).</w:t>
      </w:r>
    </w:p>
    <w:p w:rsidR="00106DA2" w:rsidRPr="00382063" w:rsidRDefault="00106DA2" w:rsidP="00915FD2">
      <w:pPr>
        <w:pStyle w:val="a3"/>
        <w:spacing w:line="252" w:lineRule="auto"/>
      </w:pPr>
      <w:r w:rsidRPr="00382063">
        <w:t xml:space="preserve">Найбільш оплачуваними в країні були працівники авіаційного транспорту, фінансової та страхової діяльності, інформації та телекомунікацій, професійної, наукової та технічної діяльності, а серед промислових видів економічної діяльності – працюючі на підприємствах із виробництва основних фармацевтичних продуктів і фармацевтичних препаратів, виробництва коксу та продуктів </w:t>
      </w:r>
      <w:proofErr w:type="spellStart"/>
      <w:r w:rsidRPr="00382063">
        <w:t>нафтоперероблення</w:t>
      </w:r>
      <w:proofErr w:type="spellEnd"/>
      <w:r w:rsidRPr="00382063">
        <w:t xml:space="preserve">, добувної промисловості і розроблення кар’єрів: розмір оплати праці у цих видах діяльності перевищив середній по економіці в 1,5–4,4 рази. </w:t>
      </w:r>
    </w:p>
    <w:p w:rsidR="00E00957" w:rsidRDefault="00E00957" w:rsidP="00106DA2">
      <w:pPr>
        <w:pStyle w:val="a3"/>
      </w:pPr>
    </w:p>
    <w:p w:rsidR="00106DA2" w:rsidRPr="00382063" w:rsidRDefault="00106DA2" w:rsidP="00915FD2">
      <w:pPr>
        <w:pStyle w:val="a3"/>
        <w:spacing w:line="252" w:lineRule="auto"/>
      </w:pPr>
      <w:r w:rsidRPr="00382063">
        <w:t>Разом із тим рівень оплати праці в закладах охорони здоров’я залишався майже на третину нижчим за середній показник по економіці, в освіті – більше ніж на чверть. У цілому 2,5% освітян і 2,7% працівників охорони здоров’я отримують заробітну плату на рівні прожиткового мінімуму для працездатної особи. У 2014р. ці показники становили відповідно 4,2% та 5,1%.</w:t>
      </w:r>
    </w:p>
    <w:p w:rsidR="00106DA2" w:rsidRPr="00382063" w:rsidRDefault="00106DA2" w:rsidP="00915FD2">
      <w:pPr>
        <w:pStyle w:val="a3"/>
        <w:spacing w:line="252" w:lineRule="auto"/>
      </w:pPr>
      <w:r w:rsidRPr="00382063">
        <w:t>Також значно нижчою була заробітна плата працівників поштової та кур’єрської діяльності, тимчасового розміщування й організації харчування, текстильного виробництва, виробництва одягу, шкіри, виробів зі шкіри та інших матеріалів. Співвідношення рівня оплати праці в зазначених видах діяльності з середнім по економіці не перевищувало 69%.</w:t>
      </w:r>
    </w:p>
    <w:p w:rsidR="00137B8E" w:rsidRPr="00382063" w:rsidRDefault="00137B8E" w:rsidP="00915FD2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Заробітна плата жінок у середньому по економіці країни була на 25,1% нижчою за відповідний показник у чоловіків (у 2014р. – на </w:t>
      </w:r>
      <w:r w:rsidRPr="00382063">
        <w:rPr>
          <w:sz w:val="28"/>
          <w:szCs w:val="28"/>
          <w:lang w:val="ru-RU"/>
        </w:rPr>
        <w:t>23</w:t>
      </w:r>
      <w:r w:rsidRPr="00382063">
        <w:rPr>
          <w:sz w:val="28"/>
          <w:szCs w:val="28"/>
        </w:rPr>
        <w:t xml:space="preserve">,7%). Така розбіжність спостерігалась у переважній більшості видів економічної діяльності. </w:t>
      </w:r>
    </w:p>
    <w:p w:rsidR="00137B8E" w:rsidRPr="00382063" w:rsidRDefault="00137B8E" w:rsidP="00915FD2">
      <w:pPr>
        <w:pStyle w:val="a3"/>
        <w:spacing w:line="252" w:lineRule="auto"/>
        <w:rPr>
          <w:szCs w:val="28"/>
        </w:rPr>
      </w:pPr>
      <w:r w:rsidRPr="00382063">
        <w:rPr>
          <w:szCs w:val="28"/>
        </w:rPr>
        <w:t xml:space="preserve">Водночас існує певна варіація гендерної нерівності в оплаті праці залежно від сфери діяльності. Найменша різниця у рівні оплати праці за статтю – у сфері адміністративного та допоміжного обслуговування (1,1%), діяльності транспорту (4,5%), операціях з нерухомим майном (5,8%), освіті (6,6%). Найбільш значна різниця середнього розміру заробітної плати жінок і чоловіків спостерігалась у сфері мистецтва, спорту, розваг та відпочинку (52,8%), добуванні </w:t>
      </w:r>
      <w:proofErr w:type="spellStart"/>
      <w:r w:rsidRPr="00382063">
        <w:rPr>
          <w:szCs w:val="28"/>
        </w:rPr>
        <w:t>камʼяного</w:t>
      </w:r>
      <w:proofErr w:type="spellEnd"/>
      <w:r w:rsidRPr="00382063">
        <w:rPr>
          <w:szCs w:val="28"/>
        </w:rPr>
        <w:t xml:space="preserve"> та бурого вугілля (49,4%), поштовій та </w:t>
      </w:r>
      <w:proofErr w:type="spellStart"/>
      <w:r w:rsidRPr="00382063">
        <w:rPr>
          <w:szCs w:val="28"/>
        </w:rPr>
        <w:t>курʼєрській</w:t>
      </w:r>
      <w:proofErr w:type="spellEnd"/>
      <w:r w:rsidRPr="00382063">
        <w:rPr>
          <w:szCs w:val="28"/>
        </w:rPr>
        <w:t xml:space="preserve"> діяльності (35,4%), фінансовій та страховій діяльності (33,6%).</w:t>
      </w:r>
    </w:p>
    <w:p w:rsidR="00106DA2" w:rsidRPr="00382063" w:rsidRDefault="00106DA2" w:rsidP="00915FD2">
      <w:pPr>
        <w:pStyle w:val="30"/>
        <w:spacing w:line="252" w:lineRule="auto"/>
        <w:jc w:val="both"/>
      </w:pPr>
      <w:r w:rsidRPr="00382063">
        <w:t>Продовжувала спостерігатися тенденція зменшення кількості працівників, оплата праці яких знаходиться у межах мінімальної заробітної плати, встановленої законодавством.</w:t>
      </w:r>
    </w:p>
    <w:p w:rsidR="00106DA2" w:rsidRPr="00382063" w:rsidRDefault="00106DA2" w:rsidP="00915FD2">
      <w:pPr>
        <w:pStyle w:val="30"/>
        <w:spacing w:line="252" w:lineRule="auto"/>
        <w:jc w:val="both"/>
      </w:pPr>
      <w:r w:rsidRPr="00382063">
        <w:t xml:space="preserve">Серед 7,5 млн. працівників, яким </w:t>
      </w:r>
      <w:proofErr w:type="spellStart"/>
      <w:r w:rsidRPr="00382063">
        <w:t>оплачено</w:t>
      </w:r>
      <w:proofErr w:type="spellEnd"/>
      <w:r w:rsidRPr="00382063">
        <w:t xml:space="preserve"> 50% і більше робочого часу, встановленого на грудень 2015р., 204,3 тис. осіб (2,7%) мали нарахування у межах 1378 грн (мінімальна заробітна плата). Найбільша частка працівників із такими нарахуваннями спостерігалась у видах діяльності з низьким рівнем середньої заробітної плати: у поштовій та кур’єрській діяльності (18,0%), діяльності у сфері творчості, мистецтва та розваг (6,9%), водному транспорті та наданні інших видів послуг (по 6,3%), а також у сільському господарстві (5,8%).</w:t>
      </w:r>
    </w:p>
    <w:p w:rsidR="00106DA2" w:rsidRPr="00382063" w:rsidRDefault="00106DA2" w:rsidP="00915FD2">
      <w:pPr>
        <w:pStyle w:val="30"/>
        <w:spacing w:line="252" w:lineRule="auto"/>
        <w:jc w:val="both"/>
      </w:pPr>
      <w:r w:rsidRPr="00382063">
        <w:t>Водночас серед працівників, які повністю відпрацювали місячну норму робочого часу (5,6 млн. осіб), цей показник становив відповідно 30,6</w:t>
      </w:r>
      <w:r w:rsidR="00DA040A">
        <w:t> </w:t>
      </w:r>
      <w:r w:rsidRPr="00382063">
        <w:t>тис. осіб, або 0,5%.</w:t>
      </w:r>
    </w:p>
    <w:p w:rsidR="00137B8E" w:rsidRDefault="00137B8E" w:rsidP="00106DA2">
      <w:pPr>
        <w:pStyle w:val="30"/>
        <w:jc w:val="both"/>
      </w:pPr>
    </w:p>
    <w:p w:rsidR="00106DA2" w:rsidRPr="00382063" w:rsidRDefault="00106DA2" w:rsidP="00106DA2">
      <w:pPr>
        <w:pStyle w:val="30"/>
        <w:jc w:val="center"/>
        <w:rPr>
          <w:rFonts w:ascii="Arial" w:hAnsi="Arial"/>
          <w:b/>
          <w:sz w:val="16"/>
          <w:szCs w:val="16"/>
        </w:rPr>
      </w:pPr>
    </w:p>
    <w:p w:rsidR="00106DA2" w:rsidRPr="00382063" w:rsidRDefault="00106DA2" w:rsidP="00106DA2">
      <w:pPr>
        <w:pStyle w:val="30"/>
        <w:ind w:firstLine="0"/>
        <w:jc w:val="center"/>
        <w:rPr>
          <w:rFonts w:ascii="Arial" w:hAnsi="Arial"/>
          <w:b/>
          <w:sz w:val="24"/>
        </w:rPr>
      </w:pPr>
      <w:r w:rsidRPr="00382063">
        <w:rPr>
          <w:rFonts w:ascii="Arial" w:hAnsi="Arial"/>
          <w:b/>
          <w:sz w:val="24"/>
        </w:rPr>
        <w:lastRenderedPageBreak/>
        <w:t>Динаміка кількості працівників, яким заробітну плату нараховано</w:t>
      </w:r>
    </w:p>
    <w:p w:rsidR="00106DA2" w:rsidRPr="00382063" w:rsidRDefault="00106DA2" w:rsidP="00106DA2">
      <w:pPr>
        <w:pStyle w:val="30"/>
        <w:ind w:firstLine="0"/>
        <w:jc w:val="center"/>
        <w:rPr>
          <w:rFonts w:ascii="Arial" w:hAnsi="Arial"/>
          <w:b/>
          <w:sz w:val="24"/>
        </w:rPr>
      </w:pPr>
      <w:r w:rsidRPr="00382063">
        <w:rPr>
          <w:rFonts w:ascii="Arial" w:hAnsi="Arial"/>
          <w:b/>
          <w:sz w:val="24"/>
        </w:rPr>
        <w:t>в межах прожиткового мінімуму для працездатної особи,</w:t>
      </w:r>
    </w:p>
    <w:p w:rsidR="00106DA2" w:rsidRPr="00382063" w:rsidRDefault="00106DA2" w:rsidP="00106DA2">
      <w:pPr>
        <w:pStyle w:val="a3"/>
        <w:ind w:firstLine="0"/>
        <w:jc w:val="center"/>
        <w:rPr>
          <w:rFonts w:ascii="Arial" w:hAnsi="Arial"/>
          <w:b/>
          <w:sz w:val="24"/>
        </w:rPr>
      </w:pPr>
      <w:r w:rsidRPr="00382063">
        <w:rPr>
          <w:rFonts w:ascii="Arial" w:hAnsi="Arial"/>
          <w:b/>
          <w:sz w:val="24"/>
        </w:rPr>
        <w:t>що діяв у грудні відповідного року</w:t>
      </w:r>
    </w:p>
    <w:p w:rsidR="00106DA2" w:rsidRPr="00382063" w:rsidRDefault="00106DA2" w:rsidP="00106DA2">
      <w:pPr>
        <w:pStyle w:val="a3"/>
        <w:ind w:firstLine="0"/>
        <w:jc w:val="center"/>
        <w:rPr>
          <w:rFonts w:ascii="Arial" w:hAnsi="Arial"/>
          <w:sz w:val="22"/>
          <w:szCs w:val="22"/>
        </w:rPr>
      </w:pPr>
    </w:p>
    <w:p w:rsidR="00106DA2" w:rsidRPr="00382063" w:rsidRDefault="00106DA2" w:rsidP="00106DA2">
      <w:pPr>
        <w:pStyle w:val="a3"/>
        <w:ind w:firstLine="0"/>
        <w:jc w:val="right"/>
        <w:rPr>
          <w:rFonts w:ascii="Arial" w:hAnsi="Arial"/>
          <w:sz w:val="22"/>
          <w:szCs w:val="22"/>
        </w:rPr>
      </w:pPr>
      <w:r w:rsidRPr="00382063">
        <w:rPr>
          <w:rFonts w:ascii="Arial" w:hAnsi="Arial"/>
          <w:sz w:val="22"/>
          <w:szCs w:val="22"/>
        </w:rPr>
        <w:t>(питома вага у загальній кількості</w:t>
      </w:r>
    </w:p>
    <w:p w:rsidR="00106DA2" w:rsidRPr="00382063" w:rsidRDefault="00106DA2" w:rsidP="00106DA2">
      <w:pPr>
        <w:pStyle w:val="a3"/>
        <w:ind w:firstLine="0"/>
        <w:jc w:val="right"/>
        <w:rPr>
          <w:rFonts w:ascii="Arial" w:hAnsi="Arial"/>
          <w:sz w:val="22"/>
          <w:szCs w:val="22"/>
        </w:rPr>
      </w:pPr>
      <w:r w:rsidRPr="00382063">
        <w:rPr>
          <w:rFonts w:ascii="Arial" w:hAnsi="Arial"/>
          <w:sz w:val="22"/>
          <w:szCs w:val="22"/>
        </w:rPr>
        <w:t xml:space="preserve"> працівників, відсотків)</w:t>
      </w:r>
    </w:p>
    <w:p w:rsidR="00106DA2" w:rsidRPr="00382063" w:rsidRDefault="007737EE" w:rsidP="0096466B">
      <w:pPr>
        <w:pStyle w:val="a3"/>
        <w:ind w:firstLine="0"/>
        <w:jc w:val="left"/>
        <w:rPr>
          <w:rFonts w:ascii="Arial" w:hAnsi="Arial"/>
          <w:sz w:val="22"/>
          <w:szCs w:val="22"/>
        </w:rPr>
      </w:pPr>
      <w:r w:rsidRPr="00382063">
        <w:rPr>
          <w:rFonts w:ascii="Arial" w:hAnsi="Arial"/>
          <w:noProof/>
          <w:sz w:val="24"/>
          <w:szCs w:val="24"/>
          <w:lang w:eastAsia="uk-UA"/>
        </w:rPr>
        <w:drawing>
          <wp:inline distT="0" distB="0" distL="0" distR="0">
            <wp:extent cx="5771515" cy="39782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bookmarkEnd w:id="1"/>
    <w:bookmarkEnd w:id="2"/>
    <w:p w:rsidR="00106DA2" w:rsidRPr="00382063" w:rsidRDefault="00106DA2" w:rsidP="0011642A">
      <w:pPr>
        <w:pStyle w:val="30"/>
        <w:spacing w:before="120" w:line="252" w:lineRule="auto"/>
        <w:jc w:val="both"/>
      </w:pPr>
      <w:r w:rsidRPr="00382063">
        <w:t xml:space="preserve">Загалом більше ніж у двох третин працівників нарахована заробітна плата не перевищувала середній рівень по країні (5230 грн). Серед працівників, які отримали нарахування із заробітної плати понад 5 </w:t>
      </w:r>
      <w:proofErr w:type="spellStart"/>
      <w:r w:rsidRPr="00382063">
        <w:t>тис.грн</w:t>
      </w:r>
      <w:proofErr w:type="spellEnd"/>
      <w:r w:rsidRPr="00382063">
        <w:t xml:space="preserve">, переважна більшість спостерігалась у видах економічної діяльності з високим рівнем оплати праці, зокрема в авіаційному транспорті (68,6% зайнятих у цьому виді діяльності), на підприємствах з виробництва основних фармацевтичних продуктів і фармацевтичних препаратів (65,5%), добування кам’яного та бурого вугілля (65,6%), з виробництва коксу та продуктів </w:t>
      </w:r>
      <w:proofErr w:type="spellStart"/>
      <w:r w:rsidRPr="00382063">
        <w:t>нафтоперероблення</w:t>
      </w:r>
      <w:proofErr w:type="spellEnd"/>
      <w:r w:rsidRPr="00382063">
        <w:t xml:space="preserve"> (59,9%), у водному транспорті (59,6%), фінансовій та страховій діяльності (58,7%).</w:t>
      </w:r>
    </w:p>
    <w:p w:rsidR="00106DA2" w:rsidRPr="00382063" w:rsidRDefault="00106DA2" w:rsidP="0011642A">
      <w:pPr>
        <w:pStyle w:val="a3"/>
        <w:spacing w:line="252" w:lineRule="auto"/>
      </w:pPr>
      <w:r w:rsidRPr="00382063">
        <w:t xml:space="preserve">Розподіл працівників за розмірами заробітної плати свідчить про відсутність залежності розміру зарплати від </w:t>
      </w:r>
      <w:proofErr w:type="spellStart"/>
      <w:r w:rsidRPr="00382063">
        <w:t>професійно</w:t>
      </w:r>
      <w:proofErr w:type="spellEnd"/>
      <w:r w:rsidRPr="00382063">
        <w:t xml:space="preserve">-кваліфікаційного рівня працівників як у видах діяльності з надання послуг, так і у виробництві. Наприклад, в установах освіти, де працівники мають високий кваліфікаційний та професійний рівень, забезпечений вищою освітою, у грудні 2015р. лише у 21,6% працюючих нарахована заробітна плата була </w:t>
      </w:r>
      <w:r w:rsidRPr="00382063">
        <w:lastRenderedPageBreak/>
        <w:t>понад 5000 грн, в установах охорони здоров’я та надання соціальної допомоги – у 16,9%. Водночас серед зайнятих у сфері фінансової діяльності зазначена категорія становила більше половини (58,7%).</w:t>
      </w:r>
    </w:p>
    <w:p w:rsidR="00106DA2" w:rsidRPr="00382063" w:rsidRDefault="00106DA2" w:rsidP="0011642A">
      <w:pPr>
        <w:pStyle w:val="30"/>
        <w:spacing w:line="252" w:lineRule="auto"/>
        <w:jc w:val="both"/>
        <w:rPr>
          <w:szCs w:val="28"/>
        </w:rPr>
      </w:pPr>
      <w:r w:rsidRPr="00382063">
        <w:t xml:space="preserve">Індекс реальної заробітної плати в середньому за 2015р. порівняно з 2014р. становив </w:t>
      </w:r>
      <w:r w:rsidRPr="00382063">
        <w:rPr>
          <w:szCs w:val="28"/>
        </w:rPr>
        <w:t>79,8%, а за січень–грудень (грудень 2015р. до грудня 2014р.) – 90,1%.</w:t>
      </w:r>
    </w:p>
    <w:p w:rsidR="00D62BE3" w:rsidRPr="00382063" w:rsidRDefault="00D62BE3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Упродовж 2015р. загальна сума заборгованості з виплати заробітної </w:t>
      </w:r>
      <w:r w:rsidRPr="00E00957">
        <w:rPr>
          <w:sz w:val="28"/>
          <w:szCs w:val="28"/>
        </w:rPr>
        <w:t>плати збільшилас</w:t>
      </w:r>
      <w:r w:rsidR="00AA2EB8" w:rsidRPr="00E00957">
        <w:rPr>
          <w:sz w:val="28"/>
          <w:szCs w:val="28"/>
        </w:rPr>
        <w:t>я</w:t>
      </w:r>
      <w:r w:rsidRPr="00E00957">
        <w:rPr>
          <w:sz w:val="28"/>
          <w:szCs w:val="28"/>
        </w:rPr>
        <w:t xml:space="preserve"> на 42,5%, або на 560,8 </w:t>
      </w:r>
      <w:proofErr w:type="spellStart"/>
      <w:r w:rsidRPr="00E00957">
        <w:rPr>
          <w:sz w:val="28"/>
          <w:szCs w:val="28"/>
        </w:rPr>
        <w:t>млн.грн</w:t>
      </w:r>
      <w:proofErr w:type="spellEnd"/>
      <w:r w:rsidRPr="00E00957">
        <w:rPr>
          <w:sz w:val="28"/>
          <w:szCs w:val="28"/>
        </w:rPr>
        <w:t xml:space="preserve"> і на 1 січня 2016р. становила 1880,8 </w:t>
      </w:r>
      <w:proofErr w:type="spellStart"/>
      <w:r w:rsidRPr="00E00957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>.</w:t>
      </w:r>
    </w:p>
    <w:p w:rsidR="00D62BE3" w:rsidRPr="00382063" w:rsidRDefault="00D62BE3" w:rsidP="0011642A">
      <w:pPr>
        <w:pStyle w:val="20"/>
        <w:tabs>
          <w:tab w:val="left" w:pos="9214"/>
          <w:tab w:val="left" w:pos="9356"/>
        </w:tabs>
        <w:spacing w:line="252" w:lineRule="auto"/>
        <w:ind w:right="-1" w:firstLine="720"/>
        <w:rPr>
          <w:szCs w:val="28"/>
        </w:rPr>
      </w:pPr>
      <w:r w:rsidRPr="00382063">
        <w:rPr>
          <w:szCs w:val="28"/>
        </w:rPr>
        <w:t>Обсяг невиплаченої заробітної плати на початок січня 2016р. дорівнював 4,4% фонду оплати праці, нарахованого за грудень 2015р.</w:t>
      </w:r>
    </w:p>
    <w:p w:rsidR="00D62BE3" w:rsidRPr="00382063" w:rsidRDefault="00D62BE3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Упродовж 2015р. сума невиплаченої заробітної плати зросла у 14 регіонах України, найсуттєвіше – у Луганській (на 444,1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), Харківській (на 47,0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), Одеській (на 30,0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 та Дніпропетровській (на 16,1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 областях. У решті областей зафіксовано зменшення розміру боргу на 0,5–9,2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>.</w:t>
      </w:r>
    </w:p>
    <w:p w:rsidR="00D62BE3" w:rsidRPr="00382063" w:rsidRDefault="00D62BE3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Зростання загального обсягу невиплаченої заробітної плати відбулося на економічно активних підприємствах та підприємствах-банкрутах.</w:t>
      </w:r>
    </w:p>
    <w:p w:rsidR="00D62BE3" w:rsidRPr="00382063" w:rsidRDefault="00D62BE3" w:rsidP="0011642A">
      <w:pPr>
        <w:pStyle w:val="20"/>
        <w:tabs>
          <w:tab w:val="left" w:pos="426"/>
          <w:tab w:val="left" w:pos="9356"/>
        </w:tabs>
        <w:spacing w:line="252" w:lineRule="auto"/>
        <w:ind w:firstLine="720"/>
        <w:rPr>
          <w:szCs w:val="28"/>
        </w:rPr>
      </w:pPr>
      <w:r w:rsidRPr="00382063">
        <w:rPr>
          <w:szCs w:val="28"/>
        </w:rPr>
        <w:t xml:space="preserve">Протягом 2015р. заборгованість працівникам економічно активних підприємств зросла на 36% (на 344,8 </w:t>
      </w:r>
      <w:proofErr w:type="spellStart"/>
      <w:r w:rsidRPr="00382063">
        <w:rPr>
          <w:szCs w:val="28"/>
        </w:rPr>
        <w:t>млн.грн</w:t>
      </w:r>
      <w:proofErr w:type="spellEnd"/>
      <w:r w:rsidRPr="00382063">
        <w:rPr>
          <w:szCs w:val="28"/>
        </w:rPr>
        <w:t xml:space="preserve">) і на 1 січня 2016р. становила 1302,7 </w:t>
      </w:r>
      <w:proofErr w:type="spellStart"/>
      <w:r w:rsidRPr="00382063">
        <w:rPr>
          <w:szCs w:val="28"/>
        </w:rPr>
        <w:t>млн.грн</w:t>
      </w:r>
      <w:proofErr w:type="spellEnd"/>
      <w:r w:rsidRPr="00382063">
        <w:rPr>
          <w:szCs w:val="28"/>
        </w:rPr>
        <w:t xml:space="preserve">. </w:t>
      </w:r>
    </w:p>
    <w:p w:rsidR="00D62BE3" w:rsidRPr="00382063" w:rsidRDefault="00D62BE3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Зростання суми невиплаченої заробітної плати у 2015р. спостерігалось більше ніж у половині видів економічної діяльності. Зокрема найвагоміше збільшення суми невиплаченої заробітної плати спостерігалося у добуванні кам’яного та бурого вугілля (на 358,7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), водопостачанні; каналізації, поводженні з відходами (на 50,5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), професійній, науковій та технічній діяльності (на 31,1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 xml:space="preserve">), а також будівництві (на 30,5 </w:t>
      </w:r>
      <w:proofErr w:type="spellStart"/>
      <w:r w:rsidRPr="00382063">
        <w:rPr>
          <w:sz w:val="28"/>
          <w:szCs w:val="28"/>
        </w:rPr>
        <w:t>млн.грн</w:t>
      </w:r>
      <w:proofErr w:type="spellEnd"/>
      <w:r w:rsidRPr="00382063">
        <w:rPr>
          <w:sz w:val="28"/>
          <w:szCs w:val="28"/>
        </w:rPr>
        <w:t>).</w:t>
      </w:r>
    </w:p>
    <w:p w:rsidR="00240836" w:rsidRPr="00382063" w:rsidRDefault="00240836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b/>
          <w:sz w:val="28"/>
          <w:szCs w:val="28"/>
        </w:rPr>
        <w:t xml:space="preserve">Колективно-договірне регулювання. </w:t>
      </w:r>
      <w:r w:rsidRPr="00382063">
        <w:rPr>
          <w:sz w:val="28"/>
          <w:szCs w:val="28"/>
        </w:rPr>
        <w:t xml:space="preserve">Основою соціального діалогу на рівні підприємства є колективно-договірне регулювання соціально-трудових відносин. </w:t>
      </w:r>
    </w:p>
    <w:p w:rsidR="00F2415E" w:rsidRPr="00382063" w:rsidRDefault="00F2415E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Станом на 31 грудня 2015р. в країні зареєстровано 69,6 тис. колективних договорів. Кількість охоплених ними працівників становила 6343,3 тис. осіб, або 77,3% облікової кількості штатних працівників, це на 1,2 </w:t>
      </w:r>
      <w:proofErr w:type="spellStart"/>
      <w:r w:rsidRPr="00382063">
        <w:rPr>
          <w:sz w:val="28"/>
          <w:szCs w:val="28"/>
        </w:rPr>
        <w:t>в.п</w:t>
      </w:r>
      <w:proofErr w:type="spellEnd"/>
      <w:r w:rsidRPr="00382063">
        <w:rPr>
          <w:sz w:val="28"/>
          <w:szCs w:val="28"/>
        </w:rPr>
        <w:t>. вище рівня охоплення у 2014р.</w:t>
      </w:r>
    </w:p>
    <w:p w:rsidR="005E2685" w:rsidRPr="00382063" w:rsidRDefault="00F2415E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Залежно від виду економічної діяльності спостерігається диференціація рівня охоплення колективними договорами. Так, найбільший відсоток цього показника спостерігається </w:t>
      </w:r>
      <w:r w:rsidR="00812D78" w:rsidRPr="00382063">
        <w:rPr>
          <w:sz w:val="28"/>
          <w:szCs w:val="28"/>
        </w:rPr>
        <w:t>у водопостачанні; каналізації, поводженні з відходами,</w:t>
      </w:r>
      <w:r w:rsidRPr="00382063">
        <w:rPr>
          <w:sz w:val="28"/>
          <w:szCs w:val="28"/>
        </w:rPr>
        <w:t xml:space="preserve"> </w:t>
      </w:r>
      <w:r w:rsidR="00812D78" w:rsidRPr="00382063">
        <w:rPr>
          <w:sz w:val="28"/>
          <w:szCs w:val="28"/>
        </w:rPr>
        <w:t xml:space="preserve">металургійному виробництві, виробництві готових металевих виробів, крім машин і </w:t>
      </w:r>
      <w:proofErr w:type="spellStart"/>
      <w:r w:rsidR="00812D78" w:rsidRPr="00382063">
        <w:rPr>
          <w:sz w:val="28"/>
          <w:szCs w:val="28"/>
        </w:rPr>
        <w:t>устатковання</w:t>
      </w:r>
      <w:proofErr w:type="spellEnd"/>
      <w:r w:rsidR="00812D78" w:rsidRPr="00382063">
        <w:rPr>
          <w:sz w:val="28"/>
          <w:szCs w:val="28"/>
        </w:rPr>
        <w:t xml:space="preserve">, </w:t>
      </w:r>
      <w:r w:rsidRPr="00382063">
        <w:rPr>
          <w:sz w:val="28"/>
          <w:szCs w:val="28"/>
        </w:rPr>
        <w:t>виробництв</w:t>
      </w:r>
      <w:r w:rsidR="00812D78" w:rsidRPr="00382063"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хімічних </w:t>
      </w:r>
      <w:r w:rsidRPr="00382063">
        <w:rPr>
          <w:sz w:val="28"/>
          <w:szCs w:val="28"/>
        </w:rPr>
        <w:lastRenderedPageBreak/>
        <w:t>речовин і хімічної продукції, в закладах освіти, охорони здоров’я та надання соціальної допомоги, постачанні електроенергії, газу пари та кондиційованого повітря, на підприємствах з виробництва автотранспортних засобів, причепів</w:t>
      </w:r>
      <w:r w:rsidR="00812D78" w:rsidRPr="00382063">
        <w:rPr>
          <w:sz w:val="28"/>
          <w:szCs w:val="28"/>
        </w:rPr>
        <w:t xml:space="preserve"> і </w:t>
      </w:r>
      <w:r w:rsidRPr="00382063">
        <w:rPr>
          <w:sz w:val="28"/>
          <w:szCs w:val="28"/>
        </w:rPr>
        <w:t>напівпричепів та інших транспортних засобів, добуванн</w:t>
      </w:r>
      <w:r w:rsidR="00812D78" w:rsidRPr="00382063">
        <w:rPr>
          <w:sz w:val="28"/>
          <w:szCs w:val="28"/>
        </w:rPr>
        <w:t>я</w:t>
      </w:r>
      <w:r w:rsidRPr="00382063">
        <w:rPr>
          <w:sz w:val="28"/>
          <w:szCs w:val="28"/>
        </w:rPr>
        <w:t xml:space="preserve"> кам’яного та бурого вугілля (</w:t>
      </w:r>
      <w:r w:rsidR="00812D78" w:rsidRPr="00382063">
        <w:rPr>
          <w:sz w:val="28"/>
          <w:szCs w:val="28"/>
        </w:rPr>
        <w:t>більше 88</w:t>
      </w:r>
      <w:r w:rsidRPr="00382063">
        <w:rPr>
          <w:sz w:val="28"/>
          <w:szCs w:val="28"/>
        </w:rPr>
        <w:t xml:space="preserve">% облікової кількості штатних працівників), найменший – в оптовій та роздрібній торгівлі; ремонті автотранспортних засобів і мотоциклів, тимчасовому розміщуванні й організації харчування, наданні інших видів послуг, у сфері операцій з нерухомим майном, будівництві, сфері інформації та телекомунікацій, адміністративного та допоміжного обслуговування, </w:t>
      </w:r>
      <w:r w:rsidR="005E2685" w:rsidRPr="00382063">
        <w:rPr>
          <w:sz w:val="28"/>
          <w:szCs w:val="28"/>
        </w:rPr>
        <w:t xml:space="preserve">на підприємствах з </w:t>
      </w:r>
      <w:r w:rsidRPr="00382063">
        <w:rPr>
          <w:sz w:val="28"/>
          <w:szCs w:val="28"/>
        </w:rPr>
        <w:t>виготовленн</w:t>
      </w:r>
      <w:r w:rsidR="005E2685" w:rsidRPr="00382063">
        <w:rPr>
          <w:sz w:val="28"/>
          <w:szCs w:val="28"/>
        </w:rPr>
        <w:t>я</w:t>
      </w:r>
      <w:r w:rsidRPr="00382063">
        <w:rPr>
          <w:sz w:val="28"/>
          <w:szCs w:val="28"/>
        </w:rPr>
        <w:t xml:space="preserve"> виробів з деревини, виробництв</w:t>
      </w:r>
      <w:r w:rsidR="005E2685" w:rsidRPr="00382063">
        <w:rPr>
          <w:sz w:val="28"/>
          <w:szCs w:val="28"/>
        </w:rPr>
        <w:t>а</w:t>
      </w:r>
      <w:r w:rsidRPr="00382063">
        <w:rPr>
          <w:sz w:val="28"/>
          <w:szCs w:val="28"/>
        </w:rPr>
        <w:t xml:space="preserve"> паперу та поліграфічн</w:t>
      </w:r>
      <w:r w:rsidR="005E2685" w:rsidRPr="00382063">
        <w:rPr>
          <w:sz w:val="28"/>
          <w:szCs w:val="28"/>
        </w:rPr>
        <w:t>ої</w:t>
      </w:r>
      <w:r w:rsidRPr="00382063">
        <w:rPr>
          <w:sz w:val="28"/>
          <w:szCs w:val="28"/>
        </w:rPr>
        <w:t xml:space="preserve"> діяльності, </w:t>
      </w:r>
      <w:r w:rsidR="005E2685" w:rsidRPr="00382063">
        <w:rPr>
          <w:sz w:val="28"/>
          <w:szCs w:val="28"/>
        </w:rPr>
        <w:t xml:space="preserve">у </w:t>
      </w:r>
      <w:r w:rsidRPr="00382063">
        <w:rPr>
          <w:sz w:val="28"/>
          <w:szCs w:val="28"/>
        </w:rPr>
        <w:t>фінансовій та страховій діяльності (33,9–58,2%).</w:t>
      </w:r>
      <w:r w:rsidR="005E2685" w:rsidRPr="00382063">
        <w:rPr>
          <w:sz w:val="28"/>
          <w:szCs w:val="28"/>
        </w:rPr>
        <w:t xml:space="preserve"> </w:t>
      </w:r>
    </w:p>
    <w:sectPr w:rsidR="005E2685" w:rsidRPr="00382063" w:rsidSect="00915FD2">
      <w:pgSz w:w="11906" w:h="16838"/>
      <w:pgMar w:top="1560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AFF" w:rsidRDefault="00E90AFF">
      <w:r>
        <w:separator/>
      </w:r>
    </w:p>
  </w:endnote>
  <w:endnote w:type="continuationSeparator" w:id="0">
    <w:p w:rsidR="00E90AFF" w:rsidRDefault="00E9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AFF" w:rsidRDefault="00E90AFF">
      <w:r>
        <w:separator/>
      </w:r>
    </w:p>
  </w:footnote>
  <w:footnote w:type="continuationSeparator" w:id="0">
    <w:p w:rsidR="00E90AFF" w:rsidRDefault="00E90AFF">
      <w:r>
        <w:continuationSeparator/>
      </w:r>
    </w:p>
  </w:footnote>
  <w:footnote w:id="1">
    <w:p w:rsidR="00C649F6" w:rsidRPr="003B5A74" w:rsidRDefault="00C649F6" w:rsidP="00AF4A68">
      <w:pPr>
        <w:pStyle w:val="a7"/>
        <w:jc w:val="both"/>
      </w:pPr>
      <w:r w:rsidRPr="00202A2E">
        <w:rPr>
          <w:rStyle w:val="a6"/>
          <w:sz w:val="22"/>
          <w:szCs w:val="22"/>
        </w:rPr>
        <w:footnoteRef/>
      </w:r>
      <w:r w:rsidRPr="00202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Тут і далі у доповіді дані наведено </w:t>
      </w:r>
      <w:r w:rsidRPr="008F32ED">
        <w:rPr>
          <w:sz w:val="22"/>
          <w:szCs w:val="22"/>
        </w:rPr>
        <w:t>по юридичних особах та відокремлених підрозділах юридичних осіб із кількістю працівників 10 і більше осіб</w:t>
      </w:r>
      <w:r w:rsidRPr="00202A2E">
        <w:rPr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51992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1">
    <w:nsid w:val="1E915650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2">
    <w:nsid w:val="242E282A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3">
    <w:nsid w:val="2D9F6D97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4">
    <w:nsid w:val="5E3F4FC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4D60AD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5F"/>
    <w:rsid w:val="00002219"/>
    <w:rsid w:val="00003E55"/>
    <w:rsid w:val="000069B8"/>
    <w:rsid w:val="000073E6"/>
    <w:rsid w:val="00013B23"/>
    <w:rsid w:val="000149D4"/>
    <w:rsid w:val="00017A0C"/>
    <w:rsid w:val="0002456E"/>
    <w:rsid w:val="00025B55"/>
    <w:rsid w:val="00030E7B"/>
    <w:rsid w:val="00032E5F"/>
    <w:rsid w:val="00033BD8"/>
    <w:rsid w:val="000352C8"/>
    <w:rsid w:val="00041EC2"/>
    <w:rsid w:val="00042174"/>
    <w:rsid w:val="0004228F"/>
    <w:rsid w:val="000429EA"/>
    <w:rsid w:val="00043A88"/>
    <w:rsid w:val="00045962"/>
    <w:rsid w:val="000460B2"/>
    <w:rsid w:val="0004682C"/>
    <w:rsid w:val="00047852"/>
    <w:rsid w:val="0005289E"/>
    <w:rsid w:val="00054142"/>
    <w:rsid w:val="00056A1F"/>
    <w:rsid w:val="00056B43"/>
    <w:rsid w:val="00060DCC"/>
    <w:rsid w:val="00062631"/>
    <w:rsid w:val="00062F9D"/>
    <w:rsid w:val="00063669"/>
    <w:rsid w:val="00064C98"/>
    <w:rsid w:val="000661EA"/>
    <w:rsid w:val="000707B3"/>
    <w:rsid w:val="000716F6"/>
    <w:rsid w:val="000716FA"/>
    <w:rsid w:val="000719F3"/>
    <w:rsid w:val="00072334"/>
    <w:rsid w:val="00072AAA"/>
    <w:rsid w:val="000736C5"/>
    <w:rsid w:val="000739B0"/>
    <w:rsid w:val="000744F5"/>
    <w:rsid w:val="0007649F"/>
    <w:rsid w:val="00077A6C"/>
    <w:rsid w:val="00081060"/>
    <w:rsid w:val="0008265D"/>
    <w:rsid w:val="00084018"/>
    <w:rsid w:val="00084E3D"/>
    <w:rsid w:val="000856FA"/>
    <w:rsid w:val="00087585"/>
    <w:rsid w:val="00087D27"/>
    <w:rsid w:val="000A2E0C"/>
    <w:rsid w:val="000A3F9E"/>
    <w:rsid w:val="000A4113"/>
    <w:rsid w:val="000A5A36"/>
    <w:rsid w:val="000A7A6B"/>
    <w:rsid w:val="000B0233"/>
    <w:rsid w:val="000B075B"/>
    <w:rsid w:val="000B1E5B"/>
    <w:rsid w:val="000B25BF"/>
    <w:rsid w:val="000B31D0"/>
    <w:rsid w:val="000B33DC"/>
    <w:rsid w:val="000B682A"/>
    <w:rsid w:val="000B6A0E"/>
    <w:rsid w:val="000B7783"/>
    <w:rsid w:val="000B7F35"/>
    <w:rsid w:val="000C2B46"/>
    <w:rsid w:val="000C3A2D"/>
    <w:rsid w:val="000C3ABD"/>
    <w:rsid w:val="000C5602"/>
    <w:rsid w:val="000D017B"/>
    <w:rsid w:val="000D070E"/>
    <w:rsid w:val="000D0A92"/>
    <w:rsid w:val="000D1692"/>
    <w:rsid w:val="000D384B"/>
    <w:rsid w:val="000D49EB"/>
    <w:rsid w:val="000D6D5E"/>
    <w:rsid w:val="000D728B"/>
    <w:rsid w:val="000D77A2"/>
    <w:rsid w:val="000D77F0"/>
    <w:rsid w:val="000E33E4"/>
    <w:rsid w:val="000E3631"/>
    <w:rsid w:val="000E439F"/>
    <w:rsid w:val="000F0870"/>
    <w:rsid w:val="000F2737"/>
    <w:rsid w:val="000F289F"/>
    <w:rsid w:val="000F5063"/>
    <w:rsid w:val="000F6771"/>
    <w:rsid w:val="001003B9"/>
    <w:rsid w:val="001010F4"/>
    <w:rsid w:val="00102141"/>
    <w:rsid w:val="00102567"/>
    <w:rsid w:val="00103849"/>
    <w:rsid w:val="001049A3"/>
    <w:rsid w:val="00106DA2"/>
    <w:rsid w:val="001111B1"/>
    <w:rsid w:val="00111617"/>
    <w:rsid w:val="0011300E"/>
    <w:rsid w:val="0011642A"/>
    <w:rsid w:val="0012211D"/>
    <w:rsid w:val="00122CB8"/>
    <w:rsid w:val="00124679"/>
    <w:rsid w:val="0012787D"/>
    <w:rsid w:val="00130D31"/>
    <w:rsid w:val="00130F50"/>
    <w:rsid w:val="00132444"/>
    <w:rsid w:val="00132CF9"/>
    <w:rsid w:val="00133B80"/>
    <w:rsid w:val="001360C9"/>
    <w:rsid w:val="00136255"/>
    <w:rsid w:val="00137B8E"/>
    <w:rsid w:val="001401AF"/>
    <w:rsid w:val="001455AF"/>
    <w:rsid w:val="00145DE7"/>
    <w:rsid w:val="001461D4"/>
    <w:rsid w:val="001469A8"/>
    <w:rsid w:val="001505B9"/>
    <w:rsid w:val="001515DF"/>
    <w:rsid w:val="0015183A"/>
    <w:rsid w:val="00152066"/>
    <w:rsid w:val="00153F26"/>
    <w:rsid w:val="001561FA"/>
    <w:rsid w:val="00160DD4"/>
    <w:rsid w:val="0016183C"/>
    <w:rsid w:val="00163142"/>
    <w:rsid w:val="00166AB6"/>
    <w:rsid w:val="00167CEC"/>
    <w:rsid w:val="001701EC"/>
    <w:rsid w:val="00171C5A"/>
    <w:rsid w:val="00173340"/>
    <w:rsid w:val="00173E1C"/>
    <w:rsid w:val="00174FE5"/>
    <w:rsid w:val="00183547"/>
    <w:rsid w:val="00183B82"/>
    <w:rsid w:val="00185C6B"/>
    <w:rsid w:val="00185D18"/>
    <w:rsid w:val="00191762"/>
    <w:rsid w:val="00193F49"/>
    <w:rsid w:val="00195D61"/>
    <w:rsid w:val="00196223"/>
    <w:rsid w:val="00196561"/>
    <w:rsid w:val="001A0976"/>
    <w:rsid w:val="001A0A51"/>
    <w:rsid w:val="001A0ED9"/>
    <w:rsid w:val="001A212C"/>
    <w:rsid w:val="001A3266"/>
    <w:rsid w:val="001A7415"/>
    <w:rsid w:val="001A7654"/>
    <w:rsid w:val="001A7DF3"/>
    <w:rsid w:val="001B14E1"/>
    <w:rsid w:val="001B2876"/>
    <w:rsid w:val="001B4833"/>
    <w:rsid w:val="001B493B"/>
    <w:rsid w:val="001B493C"/>
    <w:rsid w:val="001B69E5"/>
    <w:rsid w:val="001C0AA7"/>
    <w:rsid w:val="001C1235"/>
    <w:rsid w:val="001C1B7B"/>
    <w:rsid w:val="001C341D"/>
    <w:rsid w:val="001C7DD8"/>
    <w:rsid w:val="001D3588"/>
    <w:rsid w:val="001D47EC"/>
    <w:rsid w:val="001D7BFF"/>
    <w:rsid w:val="001E0C4A"/>
    <w:rsid w:val="001E3B34"/>
    <w:rsid w:val="001E5DD9"/>
    <w:rsid w:val="001E72EC"/>
    <w:rsid w:val="001F02FF"/>
    <w:rsid w:val="001F094D"/>
    <w:rsid w:val="001F15C0"/>
    <w:rsid w:val="001F1936"/>
    <w:rsid w:val="001F3EAD"/>
    <w:rsid w:val="001F512E"/>
    <w:rsid w:val="001F51C6"/>
    <w:rsid w:val="001F5CD3"/>
    <w:rsid w:val="002002F2"/>
    <w:rsid w:val="00201219"/>
    <w:rsid w:val="00202A2E"/>
    <w:rsid w:val="00205B3F"/>
    <w:rsid w:val="002079BB"/>
    <w:rsid w:val="002105C3"/>
    <w:rsid w:val="002128CA"/>
    <w:rsid w:val="00215042"/>
    <w:rsid w:val="00217A0D"/>
    <w:rsid w:val="002203DF"/>
    <w:rsid w:val="002206A0"/>
    <w:rsid w:val="00220F87"/>
    <w:rsid w:val="0022303E"/>
    <w:rsid w:val="00226FE7"/>
    <w:rsid w:val="00230239"/>
    <w:rsid w:val="002306A3"/>
    <w:rsid w:val="002307C3"/>
    <w:rsid w:val="00230DA9"/>
    <w:rsid w:val="00231723"/>
    <w:rsid w:val="002318E4"/>
    <w:rsid w:val="002331A8"/>
    <w:rsid w:val="002340E7"/>
    <w:rsid w:val="002342D4"/>
    <w:rsid w:val="0023577A"/>
    <w:rsid w:val="00236E46"/>
    <w:rsid w:val="0023748B"/>
    <w:rsid w:val="00240836"/>
    <w:rsid w:val="002418C9"/>
    <w:rsid w:val="0024340A"/>
    <w:rsid w:val="00243A08"/>
    <w:rsid w:val="00245374"/>
    <w:rsid w:val="0024568D"/>
    <w:rsid w:val="00246CF2"/>
    <w:rsid w:val="00250332"/>
    <w:rsid w:val="00250823"/>
    <w:rsid w:val="002512AA"/>
    <w:rsid w:val="0025134A"/>
    <w:rsid w:val="00251954"/>
    <w:rsid w:val="00253E0F"/>
    <w:rsid w:val="00254BAF"/>
    <w:rsid w:val="00256B0D"/>
    <w:rsid w:val="00257EC3"/>
    <w:rsid w:val="00260305"/>
    <w:rsid w:val="00261B90"/>
    <w:rsid w:val="0026580C"/>
    <w:rsid w:val="00270451"/>
    <w:rsid w:val="00270AB6"/>
    <w:rsid w:val="002716D7"/>
    <w:rsid w:val="00271C1C"/>
    <w:rsid w:val="002723E3"/>
    <w:rsid w:val="002733DE"/>
    <w:rsid w:val="00273DF0"/>
    <w:rsid w:val="00274499"/>
    <w:rsid w:val="002750A5"/>
    <w:rsid w:val="00276452"/>
    <w:rsid w:val="00277C95"/>
    <w:rsid w:val="00277DBB"/>
    <w:rsid w:val="00281765"/>
    <w:rsid w:val="00281FAC"/>
    <w:rsid w:val="00282BD8"/>
    <w:rsid w:val="00283E83"/>
    <w:rsid w:val="002844F3"/>
    <w:rsid w:val="00284553"/>
    <w:rsid w:val="00284BF7"/>
    <w:rsid w:val="00284C6B"/>
    <w:rsid w:val="002863B2"/>
    <w:rsid w:val="002863C4"/>
    <w:rsid w:val="002930F7"/>
    <w:rsid w:val="00293D6C"/>
    <w:rsid w:val="002952CC"/>
    <w:rsid w:val="002954DB"/>
    <w:rsid w:val="002A0596"/>
    <w:rsid w:val="002A3483"/>
    <w:rsid w:val="002A57E8"/>
    <w:rsid w:val="002B086B"/>
    <w:rsid w:val="002B3E6D"/>
    <w:rsid w:val="002B4C5E"/>
    <w:rsid w:val="002B51AB"/>
    <w:rsid w:val="002B54A5"/>
    <w:rsid w:val="002B72B2"/>
    <w:rsid w:val="002B7D68"/>
    <w:rsid w:val="002D05DB"/>
    <w:rsid w:val="002D28D2"/>
    <w:rsid w:val="002D3065"/>
    <w:rsid w:val="002D3ECE"/>
    <w:rsid w:val="002D63B2"/>
    <w:rsid w:val="002E2E06"/>
    <w:rsid w:val="002E3674"/>
    <w:rsid w:val="002E52F5"/>
    <w:rsid w:val="002E562E"/>
    <w:rsid w:val="002E6CF2"/>
    <w:rsid w:val="002E75CE"/>
    <w:rsid w:val="002F2CF4"/>
    <w:rsid w:val="002F659C"/>
    <w:rsid w:val="003002AF"/>
    <w:rsid w:val="00300D0F"/>
    <w:rsid w:val="003031BA"/>
    <w:rsid w:val="00310325"/>
    <w:rsid w:val="003118E0"/>
    <w:rsid w:val="00311E84"/>
    <w:rsid w:val="00313D0E"/>
    <w:rsid w:val="00320761"/>
    <w:rsid w:val="00321382"/>
    <w:rsid w:val="0032658D"/>
    <w:rsid w:val="00330124"/>
    <w:rsid w:val="003307D0"/>
    <w:rsid w:val="00331313"/>
    <w:rsid w:val="00332528"/>
    <w:rsid w:val="00332FF2"/>
    <w:rsid w:val="0033493B"/>
    <w:rsid w:val="0033540F"/>
    <w:rsid w:val="00337F84"/>
    <w:rsid w:val="003409B2"/>
    <w:rsid w:val="0034100A"/>
    <w:rsid w:val="00341718"/>
    <w:rsid w:val="003425E8"/>
    <w:rsid w:val="00342FE8"/>
    <w:rsid w:val="00345553"/>
    <w:rsid w:val="0034644D"/>
    <w:rsid w:val="0035047B"/>
    <w:rsid w:val="00350BB8"/>
    <w:rsid w:val="00352B13"/>
    <w:rsid w:val="0035395A"/>
    <w:rsid w:val="00353F00"/>
    <w:rsid w:val="00354612"/>
    <w:rsid w:val="00361425"/>
    <w:rsid w:val="00365675"/>
    <w:rsid w:val="00366D97"/>
    <w:rsid w:val="0037271B"/>
    <w:rsid w:val="00375776"/>
    <w:rsid w:val="00376795"/>
    <w:rsid w:val="00380D69"/>
    <w:rsid w:val="00382063"/>
    <w:rsid w:val="00382990"/>
    <w:rsid w:val="00383939"/>
    <w:rsid w:val="0038490C"/>
    <w:rsid w:val="00384DCC"/>
    <w:rsid w:val="00385EEF"/>
    <w:rsid w:val="003867B3"/>
    <w:rsid w:val="0039386C"/>
    <w:rsid w:val="00394669"/>
    <w:rsid w:val="00394EE6"/>
    <w:rsid w:val="003952AB"/>
    <w:rsid w:val="00395C4A"/>
    <w:rsid w:val="00395C87"/>
    <w:rsid w:val="0039665D"/>
    <w:rsid w:val="00397ACA"/>
    <w:rsid w:val="003A1635"/>
    <w:rsid w:val="003A3BAD"/>
    <w:rsid w:val="003A63D9"/>
    <w:rsid w:val="003A69F2"/>
    <w:rsid w:val="003A767B"/>
    <w:rsid w:val="003B0C85"/>
    <w:rsid w:val="003B0DEF"/>
    <w:rsid w:val="003B14BD"/>
    <w:rsid w:val="003B590A"/>
    <w:rsid w:val="003C13EF"/>
    <w:rsid w:val="003C4139"/>
    <w:rsid w:val="003C7281"/>
    <w:rsid w:val="003C745C"/>
    <w:rsid w:val="003D0ED6"/>
    <w:rsid w:val="003D381D"/>
    <w:rsid w:val="003D3946"/>
    <w:rsid w:val="003D63B0"/>
    <w:rsid w:val="003E0194"/>
    <w:rsid w:val="003E176A"/>
    <w:rsid w:val="003E4CFD"/>
    <w:rsid w:val="003E527B"/>
    <w:rsid w:val="003E5877"/>
    <w:rsid w:val="003E5E7C"/>
    <w:rsid w:val="003E69BD"/>
    <w:rsid w:val="003F1611"/>
    <w:rsid w:val="003F2AF3"/>
    <w:rsid w:val="003F3BBD"/>
    <w:rsid w:val="003F707C"/>
    <w:rsid w:val="00400A48"/>
    <w:rsid w:val="00402F99"/>
    <w:rsid w:val="00403B04"/>
    <w:rsid w:val="00405062"/>
    <w:rsid w:val="004075C7"/>
    <w:rsid w:val="00410F22"/>
    <w:rsid w:val="004136D7"/>
    <w:rsid w:val="0041719C"/>
    <w:rsid w:val="0042066F"/>
    <w:rsid w:val="004206F6"/>
    <w:rsid w:val="004215E9"/>
    <w:rsid w:val="004220E4"/>
    <w:rsid w:val="0042217C"/>
    <w:rsid w:val="00423CA9"/>
    <w:rsid w:val="00425199"/>
    <w:rsid w:val="00430825"/>
    <w:rsid w:val="0043122E"/>
    <w:rsid w:val="00433103"/>
    <w:rsid w:val="00436695"/>
    <w:rsid w:val="00436952"/>
    <w:rsid w:val="00440411"/>
    <w:rsid w:val="0044454B"/>
    <w:rsid w:val="00445307"/>
    <w:rsid w:val="00447077"/>
    <w:rsid w:val="00451C88"/>
    <w:rsid w:val="004548EA"/>
    <w:rsid w:val="0045491B"/>
    <w:rsid w:val="00455F88"/>
    <w:rsid w:val="004578B1"/>
    <w:rsid w:val="00462E7C"/>
    <w:rsid w:val="0046448F"/>
    <w:rsid w:val="00465B5F"/>
    <w:rsid w:val="00467E08"/>
    <w:rsid w:val="004701E0"/>
    <w:rsid w:val="00470518"/>
    <w:rsid w:val="0047061C"/>
    <w:rsid w:val="00471FD3"/>
    <w:rsid w:val="0047271B"/>
    <w:rsid w:val="004729CF"/>
    <w:rsid w:val="00477C0C"/>
    <w:rsid w:val="004841F3"/>
    <w:rsid w:val="00484B5D"/>
    <w:rsid w:val="004926E5"/>
    <w:rsid w:val="004934A4"/>
    <w:rsid w:val="004953CA"/>
    <w:rsid w:val="00496A42"/>
    <w:rsid w:val="0049768E"/>
    <w:rsid w:val="004A1CB9"/>
    <w:rsid w:val="004A360B"/>
    <w:rsid w:val="004A4B6B"/>
    <w:rsid w:val="004B20BD"/>
    <w:rsid w:val="004B2FFD"/>
    <w:rsid w:val="004B3ACE"/>
    <w:rsid w:val="004B4562"/>
    <w:rsid w:val="004B5163"/>
    <w:rsid w:val="004B73BD"/>
    <w:rsid w:val="004C10DF"/>
    <w:rsid w:val="004C4B9C"/>
    <w:rsid w:val="004C5A6F"/>
    <w:rsid w:val="004C5E76"/>
    <w:rsid w:val="004C6F46"/>
    <w:rsid w:val="004D2283"/>
    <w:rsid w:val="004D310C"/>
    <w:rsid w:val="004D35BC"/>
    <w:rsid w:val="004D4897"/>
    <w:rsid w:val="004D5DEC"/>
    <w:rsid w:val="004E07EE"/>
    <w:rsid w:val="004E2024"/>
    <w:rsid w:val="004E43EC"/>
    <w:rsid w:val="004E5468"/>
    <w:rsid w:val="004E55B4"/>
    <w:rsid w:val="004E56C5"/>
    <w:rsid w:val="004E5A22"/>
    <w:rsid w:val="004F031A"/>
    <w:rsid w:val="004F20EF"/>
    <w:rsid w:val="004F410F"/>
    <w:rsid w:val="004F4735"/>
    <w:rsid w:val="004F666D"/>
    <w:rsid w:val="004F77F1"/>
    <w:rsid w:val="00500164"/>
    <w:rsid w:val="00500857"/>
    <w:rsid w:val="00501A34"/>
    <w:rsid w:val="00502303"/>
    <w:rsid w:val="00503EC3"/>
    <w:rsid w:val="00506CB5"/>
    <w:rsid w:val="00507785"/>
    <w:rsid w:val="00510700"/>
    <w:rsid w:val="00510F20"/>
    <w:rsid w:val="00511C05"/>
    <w:rsid w:val="00513DCA"/>
    <w:rsid w:val="00517278"/>
    <w:rsid w:val="00524D4C"/>
    <w:rsid w:val="005250C8"/>
    <w:rsid w:val="00525112"/>
    <w:rsid w:val="00525DD0"/>
    <w:rsid w:val="0052665C"/>
    <w:rsid w:val="00526E06"/>
    <w:rsid w:val="005300C6"/>
    <w:rsid w:val="0053011C"/>
    <w:rsid w:val="005303C9"/>
    <w:rsid w:val="00531FA8"/>
    <w:rsid w:val="00533293"/>
    <w:rsid w:val="00533852"/>
    <w:rsid w:val="00534EC2"/>
    <w:rsid w:val="00535CE6"/>
    <w:rsid w:val="00536785"/>
    <w:rsid w:val="00541259"/>
    <w:rsid w:val="0054260A"/>
    <w:rsid w:val="00542ABB"/>
    <w:rsid w:val="00543134"/>
    <w:rsid w:val="005441E1"/>
    <w:rsid w:val="005456C6"/>
    <w:rsid w:val="005461C9"/>
    <w:rsid w:val="00546266"/>
    <w:rsid w:val="00546613"/>
    <w:rsid w:val="00550545"/>
    <w:rsid w:val="00551335"/>
    <w:rsid w:val="0055247C"/>
    <w:rsid w:val="00553790"/>
    <w:rsid w:val="00553AA0"/>
    <w:rsid w:val="005559A6"/>
    <w:rsid w:val="00557430"/>
    <w:rsid w:val="005610D8"/>
    <w:rsid w:val="005611C0"/>
    <w:rsid w:val="00564224"/>
    <w:rsid w:val="00564DCF"/>
    <w:rsid w:val="00567FCB"/>
    <w:rsid w:val="0057397B"/>
    <w:rsid w:val="0057504F"/>
    <w:rsid w:val="00576740"/>
    <w:rsid w:val="00576755"/>
    <w:rsid w:val="00576B48"/>
    <w:rsid w:val="00581478"/>
    <w:rsid w:val="00581A33"/>
    <w:rsid w:val="0058296D"/>
    <w:rsid w:val="00586B60"/>
    <w:rsid w:val="005873D5"/>
    <w:rsid w:val="00592E17"/>
    <w:rsid w:val="00593168"/>
    <w:rsid w:val="00595501"/>
    <w:rsid w:val="0059791D"/>
    <w:rsid w:val="005A0A8A"/>
    <w:rsid w:val="005A1721"/>
    <w:rsid w:val="005A18AC"/>
    <w:rsid w:val="005A2142"/>
    <w:rsid w:val="005A262E"/>
    <w:rsid w:val="005A4556"/>
    <w:rsid w:val="005A7774"/>
    <w:rsid w:val="005B1BB6"/>
    <w:rsid w:val="005B1D3C"/>
    <w:rsid w:val="005B2E2C"/>
    <w:rsid w:val="005B774D"/>
    <w:rsid w:val="005C2233"/>
    <w:rsid w:val="005C354E"/>
    <w:rsid w:val="005C3CEA"/>
    <w:rsid w:val="005C620A"/>
    <w:rsid w:val="005C66A6"/>
    <w:rsid w:val="005C6AD7"/>
    <w:rsid w:val="005D4644"/>
    <w:rsid w:val="005D51CC"/>
    <w:rsid w:val="005E1AA2"/>
    <w:rsid w:val="005E2685"/>
    <w:rsid w:val="005E2882"/>
    <w:rsid w:val="005E58EB"/>
    <w:rsid w:val="005E63AE"/>
    <w:rsid w:val="005E79AD"/>
    <w:rsid w:val="005E7B01"/>
    <w:rsid w:val="005F3489"/>
    <w:rsid w:val="005F3EA5"/>
    <w:rsid w:val="005F5D0F"/>
    <w:rsid w:val="006007BB"/>
    <w:rsid w:val="006021B2"/>
    <w:rsid w:val="00606108"/>
    <w:rsid w:val="006068D7"/>
    <w:rsid w:val="00611506"/>
    <w:rsid w:val="00611E0A"/>
    <w:rsid w:val="006147F2"/>
    <w:rsid w:val="006156F5"/>
    <w:rsid w:val="006173E4"/>
    <w:rsid w:val="0061786E"/>
    <w:rsid w:val="006205BC"/>
    <w:rsid w:val="00623AD1"/>
    <w:rsid w:val="00626DA2"/>
    <w:rsid w:val="00627124"/>
    <w:rsid w:val="00632AFB"/>
    <w:rsid w:val="00632F2E"/>
    <w:rsid w:val="006333F9"/>
    <w:rsid w:val="00641708"/>
    <w:rsid w:val="00641943"/>
    <w:rsid w:val="006461C1"/>
    <w:rsid w:val="006509CF"/>
    <w:rsid w:val="006531BB"/>
    <w:rsid w:val="0065393D"/>
    <w:rsid w:val="00654BA3"/>
    <w:rsid w:val="00656008"/>
    <w:rsid w:val="006611FE"/>
    <w:rsid w:val="006620F3"/>
    <w:rsid w:val="006626F4"/>
    <w:rsid w:val="00667FC9"/>
    <w:rsid w:val="00670772"/>
    <w:rsid w:val="00672D65"/>
    <w:rsid w:val="00673252"/>
    <w:rsid w:val="0067652D"/>
    <w:rsid w:val="00677E8A"/>
    <w:rsid w:val="00681034"/>
    <w:rsid w:val="0068349A"/>
    <w:rsid w:val="0068351E"/>
    <w:rsid w:val="00684BE3"/>
    <w:rsid w:val="006850E6"/>
    <w:rsid w:val="00685528"/>
    <w:rsid w:val="0068580B"/>
    <w:rsid w:val="006943C4"/>
    <w:rsid w:val="00695156"/>
    <w:rsid w:val="006953C9"/>
    <w:rsid w:val="006A0030"/>
    <w:rsid w:val="006A106B"/>
    <w:rsid w:val="006A1E2A"/>
    <w:rsid w:val="006A2C9E"/>
    <w:rsid w:val="006A316B"/>
    <w:rsid w:val="006A44FB"/>
    <w:rsid w:val="006A5CD1"/>
    <w:rsid w:val="006A7135"/>
    <w:rsid w:val="006B1A9F"/>
    <w:rsid w:val="006B2EF1"/>
    <w:rsid w:val="006B4D48"/>
    <w:rsid w:val="006B544A"/>
    <w:rsid w:val="006B577E"/>
    <w:rsid w:val="006B5A5B"/>
    <w:rsid w:val="006C1B1B"/>
    <w:rsid w:val="006C2280"/>
    <w:rsid w:val="006C55B4"/>
    <w:rsid w:val="006C59D5"/>
    <w:rsid w:val="006C6FFF"/>
    <w:rsid w:val="006C7DB7"/>
    <w:rsid w:val="006D02D4"/>
    <w:rsid w:val="006D0AE5"/>
    <w:rsid w:val="006D27FE"/>
    <w:rsid w:val="006D2BAF"/>
    <w:rsid w:val="006D4490"/>
    <w:rsid w:val="006D4FDC"/>
    <w:rsid w:val="006E3F7C"/>
    <w:rsid w:val="006E611C"/>
    <w:rsid w:val="006E7703"/>
    <w:rsid w:val="006F0566"/>
    <w:rsid w:val="006F2576"/>
    <w:rsid w:val="006F2ACD"/>
    <w:rsid w:val="006F3599"/>
    <w:rsid w:val="007002E7"/>
    <w:rsid w:val="00700CCD"/>
    <w:rsid w:val="00703437"/>
    <w:rsid w:val="00703DED"/>
    <w:rsid w:val="007041B9"/>
    <w:rsid w:val="00707B0A"/>
    <w:rsid w:val="00707F0A"/>
    <w:rsid w:val="00707F5B"/>
    <w:rsid w:val="00710B64"/>
    <w:rsid w:val="00711C27"/>
    <w:rsid w:val="00712F11"/>
    <w:rsid w:val="00713FE3"/>
    <w:rsid w:val="0071536C"/>
    <w:rsid w:val="00716440"/>
    <w:rsid w:val="007167EA"/>
    <w:rsid w:val="00717E05"/>
    <w:rsid w:val="007204AC"/>
    <w:rsid w:val="00721BE5"/>
    <w:rsid w:val="0072299D"/>
    <w:rsid w:val="00724E95"/>
    <w:rsid w:val="00725FE4"/>
    <w:rsid w:val="00726286"/>
    <w:rsid w:val="007315DB"/>
    <w:rsid w:val="00731EEB"/>
    <w:rsid w:val="00734CA0"/>
    <w:rsid w:val="00735E06"/>
    <w:rsid w:val="007400D4"/>
    <w:rsid w:val="007470CE"/>
    <w:rsid w:val="0075118D"/>
    <w:rsid w:val="007519C2"/>
    <w:rsid w:val="007534F8"/>
    <w:rsid w:val="0075413F"/>
    <w:rsid w:val="00754336"/>
    <w:rsid w:val="00756423"/>
    <w:rsid w:val="00756D94"/>
    <w:rsid w:val="007608D7"/>
    <w:rsid w:val="007626A8"/>
    <w:rsid w:val="00762F1E"/>
    <w:rsid w:val="007646E5"/>
    <w:rsid w:val="00765AD1"/>
    <w:rsid w:val="0076632F"/>
    <w:rsid w:val="007717B2"/>
    <w:rsid w:val="0077240E"/>
    <w:rsid w:val="00772963"/>
    <w:rsid w:val="00772B56"/>
    <w:rsid w:val="00772D6E"/>
    <w:rsid w:val="007732FC"/>
    <w:rsid w:val="007737EE"/>
    <w:rsid w:val="007762FB"/>
    <w:rsid w:val="00776EF3"/>
    <w:rsid w:val="007822CC"/>
    <w:rsid w:val="00782812"/>
    <w:rsid w:val="007840AE"/>
    <w:rsid w:val="00785358"/>
    <w:rsid w:val="00786CF4"/>
    <w:rsid w:val="00790FCC"/>
    <w:rsid w:val="00791009"/>
    <w:rsid w:val="00792288"/>
    <w:rsid w:val="00792D92"/>
    <w:rsid w:val="007938CA"/>
    <w:rsid w:val="00796D9E"/>
    <w:rsid w:val="007972A8"/>
    <w:rsid w:val="00797F6F"/>
    <w:rsid w:val="007A15CB"/>
    <w:rsid w:val="007A1D76"/>
    <w:rsid w:val="007A22A9"/>
    <w:rsid w:val="007A2C8D"/>
    <w:rsid w:val="007A4D25"/>
    <w:rsid w:val="007A6A62"/>
    <w:rsid w:val="007A6D00"/>
    <w:rsid w:val="007B2402"/>
    <w:rsid w:val="007B38C4"/>
    <w:rsid w:val="007B604B"/>
    <w:rsid w:val="007B6F19"/>
    <w:rsid w:val="007C0452"/>
    <w:rsid w:val="007C1E25"/>
    <w:rsid w:val="007C283A"/>
    <w:rsid w:val="007C49A1"/>
    <w:rsid w:val="007C74E9"/>
    <w:rsid w:val="007C7D2C"/>
    <w:rsid w:val="007D0B53"/>
    <w:rsid w:val="007D361D"/>
    <w:rsid w:val="007D436C"/>
    <w:rsid w:val="007D75EB"/>
    <w:rsid w:val="007E1390"/>
    <w:rsid w:val="007E3E1A"/>
    <w:rsid w:val="007E62B0"/>
    <w:rsid w:val="007F00FC"/>
    <w:rsid w:val="007F182B"/>
    <w:rsid w:val="007F422B"/>
    <w:rsid w:val="007F49CC"/>
    <w:rsid w:val="00800BAC"/>
    <w:rsid w:val="00804955"/>
    <w:rsid w:val="00804AA2"/>
    <w:rsid w:val="008067DA"/>
    <w:rsid w:val="00810514"/>
    <w:rsid w:val="00811053"/>
    <w:rsid w:val="00811A32"/>
    <w:rsid w:val="00812D78"/>
    <w:rsid w:val="00814696"/>
    <w:rsid w:val="008155DB"/>
    <w:rsid w:val="00817066"/>
    <w:rsid w:val="00817EC1"/>
    <w:rsid w:val="00820719"/>
    <w:rsid w:val="00820B70"/>
    <w:rsid w:val="0082386B"/>
    <w:rsid w:val="008248E6"/>
    <w:rsid w:val="00824C38"/>
    <w:rsid w:val="008272E2"/>
    <w:rsid w:val="00827C59"/>
    <w:rsid w:val="00830003"/>
    <w:rsid w:val="008300C4"/>
    <w:rsid w:val="008301EB"/>
    <w:rsid w:val="008302EF"/>
    <w:rsid w:val="008304D0"/>
    <w:rsid w:val="00830F2F"/>
    <w:rsid w:val="008311E7"/>
    <w:rsid w:val="008312AD"/>
    <w:rsid w:val="008319B2"/>
    <w:rsid w:val="00831A7E"/>
    <w:rsid w:val="00831B4D"/>
    <w:rsid w:val="00832DA0"/>
    <w:rsid w:val="008335B8"/>
    <w:rsid w:val="0083441D"/>
    <w:rsid w:val="0083521F"/>
    <w:rsid w:val="0083543B"/>
    <w:rsid w:val="00836970"/>
    <w:rsid w:val="0083774C"/>
    <w:rsid w:val="0084129A"/>
    <w:rsid w:val="008418CB"/>
    <w:rsid w:val="008426C3"/>
    <w:rsid w:val="0084323A"/>
    <w:rsid w:val="00843684"/>
    <w:rsid w:val="00844971"/>
    <w:rsid w:val="0084763F"/>
    <w:rsid w:val="00847C3B"/>
    <w:rsid w:val="00851691"/>
    <w:rsid w:val="00852F66"/>
    <w:rsid w:val="008543A5"/>
    <w:rsid w:val="00854A27"/>
    <w:rsid w:val="008567C7"/>
    <w:rsid w:val="008620E8"/>
    <w:rsid w:val="00863CB9"/>
    <w:rsid w:val="00865C70"/>
    <w:rsid w:val="00867A96"/>
    <w:rsid w:val="00870251"/>
    <w:rsid w:val="0087385F"/>
    <w:rsid w:val="008740C7"/>
    <w:rsid w:val="00875CEC"/>
    <w:rsid w:val="00876190"/>
    <w:rsid w:val="00876E8B"/>
    <w:rsid w:val="00882A32"/>
    <w:rsid w:val="00882FD3"/>
    <w:rsid w:val="0088377D"/>
    <w:rsid w:val="00885507"/>
    <w:rsid w:val="008863AE"/>
    <w:rsid w:val="00886407"/>
    <w:rsid w:val="0088672F"/>
    <w:rsid w:val="00886C9B"/>
    <w:rsid w:val="00887067"/>
    <w:rsid w:val="008942F1"/>
    <w:rsid w:val="008960EC"/>
    <w:rsid w:val="008A0BED"/>
    <w:rsid w:val="008A31E8"/>
    <w:rsid w:val="008A37CD"/>
    <w:rsid w:val="008A5162"/>
    <w:rsid w:val="008A581F"/>
    <w:rsid w:val="008A5B27"/>
    <w:rsid w:val="008B4EAC"/>
    <w:rsid w:val="008B7D63"/>
    <w:rsid w:val="008C2B5F"/>
    <w:rsid w:val="008C32D6"/>
    <w:rsid w:val="008C371E"/>
    <w:rsid w:val="008C5060"/>
    <w:rsid w:val="008C5545"/>
    <w:rsid w:val="008D2754"/>
    <w:rsid w:val="008D3AEC"/>
    <w:rsid w:val="008D428B"/>
    <w:rsid w:val="008D5365"/>
    <w:rsid w:val="008D6500"/>
    <w:rsid w:val="008E09E9"/>
    <w:rsid w:val="008E1801"/>
    <w:rsid w:val="008E1A7D"/>
    <w:rsid w:val="008E1E82"/>
    <w:rsid w:val="008E1FB5"/>
    <w:rsid w:val="008E2F30"/>
    <w:rsid w:val="008E4F88"/>
    <w:rsid w:val="008E6AD6"/>
    <w:rsid w:val="008E7649"/>
    <w:rsid w:val="008F33D5"/>
    <w:rsid w:val="008F57C7"/>
    <w:rsid w:val="008F6103"/>
    <w:rsid w:val="00900AC9"/>
    <w:rsid w:val="0090263C"/>
    <w:rsid w:val="00905219"/>
    <w:rsid w:val="0090616D"/>
    <w:rsid w:val="009141E8"/>
    <w:rsid w:val="009148D6"/>
    <w:rsid w:val="009151EE"/>
    <w:rsid w:val="00915FD2"/>
    <w:rsid w:val="00920431"/>
    <w:rsid w:val="00924D89"/>
    <w:rsid w:val="009260F0"/>
    <w:rsid w:val="009274A2"/>
    <w:rsid w:val="009301B9"/>
    <w:rsid w:val="00930BBA"/>
    <w:rsid w:val="00931C9B"/>
    <w:rsid w:val="009412B7"/>
    <w:rsid w:val="00942313"/>
    <w:rsid w:val="00942658"/>
    <w:rsid w:val="009448F7"/>
    <w:rsid w:val="0094736F"/>
    <w:rsid w:val="00950459"/>
    <w:rsid w:val="00951241"/>
    <w:rsid w:val="0095272B"/>
    <w:rsid w:val="00952F54"/>
    <w:rsid w:val="00953600"/>
    <w:rsid w:val="00953F70"/>
    <w:rsid w:val="00954A77"/>
    <w:rsid w:val="009551DF"/>
    <w:rsid w:val="00957161"/>
    <w:rsid w:val="00960410"/>
    <w:rsid w:val="00960471"/>
    <w:rsid w:val="009619CE"/>
    <w:rsid w:val="0096466B"/>
    <w:rsid w:val="00964792"/>
    <w:rsid w:val="00970D6C"/>
    <w:rsid w:val="00971311"/>
    <w:rsid w:val="00972817"/>
    <w:rsid w:val="00972F8E"/>
    <w:rsid w:val="00974E5A"/>
    <w:rsid w:val="0097502D"/>
    <w:rsid w:val="00976469"/>
    <w:rsid w:val="00977754"/>
    <w:rsid w:val="009804D3"/>
    <w:rsid w:val="00984A23"/>
    <w:rsid w:val="00985818"/>
    <w:rsid w:val="00986905"/>
    <w:rsid w:val="0099051E"/>
    <w:rsid w:val="00991BA9"/>
    <w:rsid w:val="009A13FE"/>
    <w:rsid w:val="009A2438"/>
    <w:rsid w:val="009A473A"/>
    <w:rsid w:val="009A524E"/>
    <w:rsid w:val="009A6763"/>
    <w:rsid w:val="009B000A"/>
    <w:rsid w:val="009B0688"/>
    <w:rsid w:val="009B1684"/>
    <w:rsid w:val="009B2DE4"/>
    <w:rsid w:val="009B31BC"/>
    <w:rsid w:val="009B46E8"/>
    <w:rsid w:val="009B59BA"/>
    <w:rsid w:val="009C09EB"/>
    <w:rsid w:val="009C1D99"/>
    <w:rsid w:val="009C44DD"/>
    <w:rsid w:val="009C54D9"/>
    <w:rsid w:val="009C5955"/>
    <w:rsid w:val="009C6BA1"/>
    <w:rsid w:val="009C7352"/>
    <w:rsid w:val="009C7A24"/>
    <w:rsid w:val="009D355A"/>
    <w:rsid w:val="009D4829"/>
    <w:rsid w:val="009D4A2E"/>
    <w:rsid w:val="009D4F50"/>
    <w:rsid w:val="009D7B1C"/>
    <w:rsid w:val="009E004D"/>
    <w:rsid w:val="009E1AA7"/>
    <w:rsid w:val="009E312D"/>
    <w:rsid w:val="009E3EC3"/>
    <w:rsid w:val="009E3FB5"/>
    <w:rsid w:val="009E5180"/>
    <w:rsid w:val="009E61C1"/>
    <w:rsid w:val="009F010C"/>
    <w:rsid w:val="009F0598"/>
    <w:rsid w:val="009F0747"/>
    <w:rsid w:val="009F0833"/>
    <w:rsid w:val="009F2DD2"/>
    <w:rsid w:val="009F79CF"/>
    <w:rsid w:val="00A00DCE"/>
    <w:rsid w:val="00A0176C"/>
    <w:rsid w:val="00A06BD3"/>
    <w:rsid w:val="00A07069"/>
    <w:rsid w:val="00A10A4D"/>
    <w:rsid w:val="00A10DE1"/>
    <w:rsid w:val="00A10E81"/>
    <w:rsid w:val="00A10EF7"/>
    <w:rsid w:val="00A1259C"/>
    <w:rsid w:val="00A12CA7"/>
    <w:rsid w:val="00A1499F"/>
    <w:rsid w:val="00A20449"/>
    <w:rsid w:val="00A20668"/>
    <w:rsid w:val="00A20D50"/>
    <w:rsid w:val="00A225DA"/>
    <w:rsid w:val="00A233E2"/>
    <w:rsid w:val="00A25238"/>
    <w:rsid w:val="00A261DC"/>
    <w:rsid w:val="00A27324"/>
    <w:rsid w:val="00A3033E"/>
    <w:rsid w:val="00A30B8C"/>
    <w:rsid w:val="00A318D7"/>
    <w:rsid w:val="00A32C78"/>
    <w:rsid w:val="00A32F8B"/>
    <w:rsid w:val="00A33C52"/>
    <w:rsid w:val="00A34F66"/>
    <w:rsid w:val="00A35811"/>
    <w:rsid w:val="00A413EF"/>
    <w:rsid w:val="00A4227A"/>
    <w:rsid w:val="00A44F31"/>
    <w:rsid w:val="00A45CAE"/>
    <w:rsid w:val="00A467E4"/>
    <w:rsid w:val="00A46960"/>
    <w:rsid w:val="00A52619"/>
    <w:rsid w:val="00A52925"/>
    <w:rsid w:val="00A54013"/>
    <w:rsid w:val="00A54A26"/>
    <w:rsid w:val="00A579CF"/>
    <w:rsid w:val="00A624F8"/>
    <w:rsid w:val="00A62996"/>
    <w:rsid w:val="00A6399A"/>
    <w:rsid w:val="00A651AE"/>
    <w:rsid w:val="00A65D70"/>
    <w:rsid w:val="00A66B9D"/>
    <w:rsid w:val="00A70467"/>
    <w:rsid w:val="00A72487"/>
    <w:rsid w:val="00A73E56"/>
    <w:rsid w:val="00A75AC2"/>
    <w:rsid w:val="00A75D65"/>
    <w:rsid w:val="00A76EF5"/>
    <w:rsid w:val="00A8010B"/>
    <w:rsid w:val="00A80F72"/>
    <w:rsid w:val="00A844CD"/>
    <w:rsid w:val="00A846EF"/>
    <w:rsid w:val="00A84C73"/>
    <w:rsid w:val="00A84EA3"/>
    <w:rsid w:val="00A860C6"/>
    <w:rsid w:val="00A86668"/>
    <w:rsid w:val="00A86DB9"/>
    <w:rsid w:val="00A873B4"/>
    <w:rsid w:val="00A91328"/>
    <w:rsid w:val="00A92C83"/>
    <w:rsid w:val="00A9370E"/>
    <w:rsid w:val="00A94174"/>
    <w:rsid w:val="00A9434D"/>
    <w:rsid w:val="00A974F6"/>
    <w:rsid w:val="00A97BAF"/>
    <w:rsid w:val="00AA0BCB"/>
    <w:rsid w:val="00AA2EB8"/>
    <w:rsid w:val="00AB11BB"/>
    <w:rsid w:val="00AB2B76"/>
    <w:rsid w:val="00AB2F8B"/>
    <w:rsid w:val="00AB383E"/>
    <w:rsid w:val="00AB5554"/>
    <w:rsid w:val="00AC172A"/>
    <w:rsid w:val="00AC606F"/>
    <w:rsid w:val="00AC6395"/>
    <w:rsid w:val="00AC7310"/>
    <w:rsid w:val="00AD254A"/>
    <w:rsid w:val="00AD25D1"/>
    <w:rsid w:val="00AD272F"/>
    <w:rsid w:val="00AD4089"/>
    <w:rsid w:val="00AD606F"/>
    <w:rsid w:val="00AD713E"/>
    <w:rsid w:val="00AD7EB4"/>
    <w:rsid w:val="00AD7F0F"/>
    <w:rsid w:val="00AE012F"/>
    <w:rsid w:val="00AE10C8"/>
    <w:rsid w:val="00AE2DB9"/>
    <w:rsid w:val="00AE3C57"/>
    <w:rsid w:val="00AE47D7"/>
    <w:rsid w:val="00AE59B8"/>
    <w:rsid w:val="00AE72B7"/>
    <w:rsid w:val="00AE73BF"/>
    <w:rsid w:val="00AF4A68"/>
    <w:rsid w:val="00AF54F3"/>
    <w:rsid w:val="00AF6739"/>
    <w:rsid w:val="00B00182"/>
    <w:rsid w:val="00B02027"/>
    <w:rsid w:val="00B02263"/>
    <w:rsid w:val="00B03356"/>
    <w:rsid w:val="00B04848"/>
    <w:rsid w:val="00B07FC8"/>
    <w:rsid w:val="00B1129C"/>
    <w:rsid w:val="00B1354F"/>
    <w:rsid w:val="00B1395E"/>
    <w:rsid w:val="00B14574"/>
    <w:rsid w:val="00B14935"/>
    <w:rsid w:val="00B15B66"/>
    <w:rsid w:val="00B16220"/>
    <w:rsid w:val="00B179C4"/>
    <w:rsid w:val="00B17FDA"/>
    <w:rsid w:val="00B20194"/>
    <w:rsid w:val="00B21BE9"/>
    <w:rsid w:val="00B227EE"/>
    <w:rsid w:val="00B22C50"/>
    <w:rsid w:val="00B2456C"/>
    <w:rsid w:val="00B248E6"/>
    <w:rsid w:val="00B306A0"/>
    <w:rsid w:val="00B33C7D"/>
    <w:rsid w:val="00B4215B"/>
    <w:rsid w:val="00B424E4"/>
    <w:rsid w:val="00B45282"/>
    <w:rsid w:val="00B4616E"/>
    <w:rsid w:val="00B477CA"/>
    <w:rsid w:val="00B50F5E"/>
    <w:rsid w:val="00B514DA"/>
    <w:rsid w:val="00B516AC"/>
    <w:rsid w:val="00B5273D"/>
    <w:rsid w:val="00B52900"/>
    <w:rsid w:val="00B52B69"/>
    <w:rsid w:val="00B5304D"/>
    <w:rsid w:val="00B54367"/>
    <w:rsid w:val="00B55077"/>
    <w:rsid w:val="00B57B20"/>
    <w:rsid w:val="00B57F0E"/>
    <w:rsid w:val="00B61C5C"/>
    <w:rsid w:val="00B621C0"/>
    <w:rsid w:val="00B62FAC"/>
    <w:rsid w:val="00B63134"/>
    <w:rsid w:val="00B64919"/>
    <w:rsid w:val="00B64BC5"/>
    <w:rsid w:val="00B66197"/>
    <w:rsid w:val="00B670AC"/>
    <w:rsid w:val="00B708D1"/>
    <w:rsid w:val="00B70AE8"/>
    <w:rsid w:val="00B72020"/>
    <w:rsid w:val="00B727F1"/>
    <w:rsid w:val="00B7397E"/>
    <w:rsid w:val="00B74449"/>
    <w:rsid w:val="00B75845"/>
    <w:rsid w:val="00B75C50"/>
    <w:rsid w:val="00B75DF2"/>
    <w:rsid w:val="00B75FA8"/>
    <w:rsid w:val="00B768B2"/>
    <w:rsid w:val="00B77896"/>
    <w:rsid w:val="00B835D9"/>
    <w:rsid w:val="00B838CA"/>
    <w:rsid w:val="00B8486A"/>
    <w:rsid w:val="00B904A0"/>
    <w:rsid w:val="00B91316"/>
    <w:rsid w:val="00B91C2B"/>
    <w:rsid w:val="00B923AF"/>
    <w:rsid w:val="00B92CBE"/>
    <w:rsid w:val="00B9332C"/>
    <w:rsid w:val="00BA2684"/>
    <w:rsid w:val="00BA41B3"/>
    <w:rsid w:val="00BA5AF8"/>
    <w:rsid w:val="00BA5CE5"/>
    <w:rsid w:val="00BB1C67"/>
    <w:rsid w:val="00BB40EB"/>
    <w:rsid w:val="00BB4D83"/>
    <w:rsid w:val="00BB5630"/>
    <w:rsid w:val="00BB7246"/>
    <w:rsid w:val="00BC1E05"/>
    <w:rsid w:val="00BC2B1A"/>
    <w:rsid w:val="00BC4273"/>
    <w:rsid w:val="00BC576F"/>
    <w:rsid w:val="00BC6323"/>
    <w:rsid w:val="00BC6CF4"/>
    <w:rsid w:val="00BD0925"/>
    <w:rsid w:val="00BD12EC"/>
    <w:rsid w:val="00BD3A57"/>
    <w:rsid w:val="00BD3BBD"/>
    <w:rsid w:val="00BD6F13"/>
    <w:rsid w:val="00BD6F87"/>
    <w:rsid w:val="00BE03FC"/>
    <w:rsid w:val="00BE19F0"/>
    <w:rsid w:val="00BE22AC"/>
    <w:rsid w:val="00BE23BA"/>
    <w:rsid w:val="00BE370B"/>
    <w:rsid w:val="00BE4791"/>
    <w:rsid w:val="00BE4F14"/>
    <w:rsid w:val="00BF212F"/>
    <w:rsid w:val="00BF429C"/>
    <w:rsid w:val="00BF4A09"/>
    <w:rsid w:val="00BF4BE7"/>
    <w:rsid w:val="00BF5749"/>
    <w:rsid w:val="00BF5D85"/>
    <w:rsid w:val="00BF6A11"/>
    <w:rsid w:val="00BF6A34"/>
    <w:rsid w:val="00BF72AC"/>
    <w:rsid w:val="00C00F9E"/>
    <w:rsid w:val="00C04ED5"/>
    <w:rsid w:val="00C0775A"/>
    <w:rsid w:val="00C07EBF"/>
    <w:rsid w:val="00C1122F"/>
    <w:rsid w:val="00C14C7B"/>
    <w:rsid w:val="00C16A8F"/>
    <w:rsid w:val="00C16DDC"/>
    <w:rsid w:val="00C21829"/>
    <w:rsid w:val="00C23C13"/>
    <w:rsid w:val="00C24E4E"/>
    <w:rsid w:val="00C26D68"/>
    <w:rsid w:val="00C26F23"/>
    <w:rsid w:val="00C338A1"/>
    <w:rsid w:val="00C33F0D"/>
    <w:rsid w:val="00C3447F"/>
    <w:rsid w:val="00C36FD6"/>
    <w:rsid w:val="00C37F36"/>
    <w:rsid w:val="00C420F9"/>
    <w:rsid w:val="00C428A4"/>
    <w:rsid w:val="00C43ECF"/>
    <w:rsid w:val="00C4582C"/>
    <w:rsid w:val="00C459D1"/>
    <w:rsid w:val="00C4689B"/>
    <w:rsid w:val="00C52194"/>
    <w:rsid w:val="00C53DF9"/>
    <w:rsid w:val="00C54F50"/>
    <w:rsid w:val="00C5603E"/>
    <w:rsid w:val="00C60203"/>
    <w:rsid w:val="00C615E9"/>
    <w:rsid w:val="00C62815"/>
    <w:rsid w:val="00C636AC"/>
    <w:rsid w:val="00C63848"/>
    <w:rsid w:val="00C6385B"/>
    <w:rsid w:val="00C63BB2"/>
    <w:rsid w:val="00C649F6"/>
    <w:rsid w:val="00C67C4B"/>
    <w:rsid w:val="00C7062A"/>
    <w:rsid w:val="00C70B8C"/>
    <w:rsid w:val="00C717A3"/>
    <w:rsid w:val="00C72D08"/>
    <w:rsid w:val="00C74D32"/>
    <w:rsid w:val="00C76A41"/>
    <w:rsid w:val="00C80E17"/>
    <w:rsid w:val="00C83572"/>
    <w:rsid w:val="00C84206"/>
    <w:rsid w:val="00C86867"/>
    <w:rsid w:val="00C87A6A"/>
    <w:rsid w:val="00C90E3D"/>
    <w:rsid w:val="00C9172D"/>
    <w:rsid w:val="00C92031"/>
    <w:rsid w:val="00C93364"/>
    <w:rsid w:val="00C97468"/>
    <w:rsid w:val="00C975DB"/>
    <w:rsid w:val="00C97D41"/>
    <w:rsid w:val="00CA23FD"/>
    <w:rsid w:val="00CA39DE"/>
    <w:rsid w:val="00CA437E"/>
    <w:rsid w:val="00CA4CA4"/>
    <w:rsid w:val="00CA516A"/>
    <w:rsid w:val="00CB7E71"/>
    <w:rsid w:val="00CC0B40"/>
    <w:rsid w:val="00CC2313"/>
    <w:rsid w:val="00CC43A1"/>
    <w:rsid w:val="00CD0AE7"/>
    <w:rsid w:val="00CD58D5"/>
    <w:rsid w:val="00CD7FD3"/>
    <w:rsid w:val="00CE059E"/>
    <w:rsid w:val="00CE0962"/>
    <w:rsid w:val="00CE0D37"/>
    <w:rsid w:val="00CE65C2"/>
    <w:rsid w:val="00CE771E"/>
    <w:rsid w:val="00CF0884"/>
    <w:rsid w:val="00CF2C3C"/>
    <w:rsid w:val="00CF4424"/>
    <w:rsid w:val="00CF44BC"/>
    <w:rsid w:val="00CF56A6"/>
    <w:rsid w:val="00CF63B1"/>
    <w:rsid w:val="00CF6CDE"/>
    <w:rsid w:val="00D01FC8"/>
    <w:rsid w:val="00D07EC6"/>
    <w:rsid w:val="00D109F1"/>
    <w:rsid w:val="00D11F61"/>
    <w:rsid w:val="00D12E69"/>
    <w:rsid w:val="00D131E3"/>
    <w:rsid w:val="00D169B3"/>
    <w:rsid w:val="00D21041"/>
    <w:rsid w:val="00D27C35"/>
    <w:rsid w:val="00D32CD5"/>
    <w:rsid w:val="00D36812"/>
    <w:rsid w:val="00D44414"/>
    <w:rsid w:val="00D45442"/>
    <w:rsid w:val="00D470F8"/>
    <w:rsid w:val="00D54CD5"/>
    <w:rsid w:val="00D55C5A"/>
    <w:rsid w:val="00D5637C"/>
    <w:rsid w:val="00D5742F"/>
    <w:rsid w:val="00D60403"/>
    <w:rsid w:val="00D609AE"/>
    <w:rsid w:val="00D60BB9"/>
    <w:rsid w:val="00D62BE3"/>
    <w:rsid w:val="00D62BEE"/>
    <w:rsid w:val="00D62FB3"/>
    <w:rsid w:val="00D6712F"/>
    <w:rsid w:val="00D67BAE"/>
    <w:rsid w:val="00D70236"/>
    <w:rsid w:val="00D7418C"/>
    <w:rsid w:val="00D74602"/>
    <w:rsid w:val="00D75284"/>
    <w:rsid w:val="00D77351"/>
    <w:rsid w:val="00D803AE"/>
    <w:rsid w:val="00D80C32"/>
    <w:rsid w:val="00D8308D"/>
    <w:rsid w:val="00D830A1"/>
    <w:rsid w:val="00D84343"/>
    <w:rsid w:val="00D846C5"/>
    <w:rsid w:val="00D8517A"/>
    <w:rsid w:val="00D90F88"/>
    <w:rsid w:val="00D91C4C"/>
    <w:rsid w:val="00D93A87"/>
    <w:rsid w:val="00D9409A"/>
    <w:rsid w:val="00D96F08"/>
    <w:rsid w:val="00D978B0"/>
    <w:rsid w:val="00DA040A"/>
    <w:rsid w:val="00DA05FE"/>
    <w:rsid w:val="00DA0DA0"/>
    <w:rsid w:val="00DA2ED0"/>
    <w:rsid w:val="00DA3749"/>
    <w:rsid w:val="00DA4454"/>
    <w:rsid w:val="00DA7240"/>
    <w:rsid w:val="00DA7856"/>
    <w:rsid w:val="00DB17EF"/>
    <w:rsid w:val="00DB22B5"/>
    <w:rsid w:val="00DB3D22"/>
    <w:rsid w:val="00DB414F"/>
    <w:rsid w:val="00DB5217"/>
    <w:rsid w:val="00DB6488"/>
    <w:rsid w:val="00DB7A62"/>
    <w:rsid w:val="00DC2A89"/>
    <w:rsid w:val="00DC2AF9"/>
    <w:rsid w:val="00DC2C93"/>
    <w:rsid w:val="00DC5D37"/>
    <w:rsid w:val="00DC7507"/>
    <w:rsid w:val="00DD4D21"/>
    <w:rsid w:val="00DD537F"/>
    <w:rsid w:val="00DD5D83"/>
    <w:rsid w:val="00DD5F45"/>
    <w:rsid w:val="00DD60CC"/>
    <w:rsid w:val="00DD7309"/>
    <w:rsid w:val="00DD77CF"/>
    <w:rsid w:val="00DE05F1"/>
    <w:rsid w:val="00DE0F93"/>
    <w:rsid w:val="00DE3565"/>
    <w:rsid w:val="00DF105C"/>
    <w:rsid w:val="00DF2D6A"/>
    <w:rsid w:val="00DF34EE"/>
    <w:rsid w:val="00DF476F"/>
    <w:rsid w:val="00DF5FF0"/>
    <w:rsid w:val="00DF623E"/>
    <w:rsid w:val="00DF65CE"/>
    <w:rsid w:val="00DF73BC"/>
    <w:rsid w:val="00DF7A43"/>
    <w:rsid w:val="00E00957"/>
    <w:rsid w:val="00E03A44"/>
    <w:rsid w:val="00E048CB"/>
    <w:rsid w:val="00E0601E"/>
    <w:rsid w:val="00E06360"/>
    <w:rsid w:val="00E06639"/>
    <w:rsid w:val="00E0678C"/>
    <w:rsid w:val="00E10245"/>
    <w:rsid w:val="00E10626"/>
    <w:rsid w:val="00E130B4"/>
    <w:rsid w:val="00E147B1"/>
    <w:rsid w:val="00E1548A"/>
    <w:rsid w:val="00E155D1"/>
    <w:rsid w:val="00E15B3F"/>
    <w:rsid w:val="00E16DFA"/>
    <w:rsid w:val="00E17676"/>
    <w:rsid w:val="00E22D25"/>
    <w:rsid w:val="00E230DE"/>
    <w:rsid w:val="00E236BD"/>
    <w:rsid w:val="00E24F4C"/>
    <w:rsid w:val="00E25C8B"/>
    <w:rsid w:val="00E26214"/>
    <w:rsid w:val="00E26519"/>
    <w:rsid w:val="00E3216C"/>
    <w:rsid w:val="00E338C5"/>
    <w:rsid w:val="00E34310"/>
    <w:rsid w:val="00E365CB"/>
    <w:rsid w:val="00E3660A"/>
    <w:rsid w:val="00E40F70"/>
    <w:rsid w:val="00E4142F"/>
    <w:rsid w:val="00E41550"/>
    <w:rsid w:val="00E41F70"/>
    <w:rsid w:val="00E43E66"/>
    <w:rsid w:val="00E47545"/>
    <w:rsid w:val="00E477EF"/>
    <w:rsid w:val="00E5338C"/>
    <w:rsid w:val="00E54891"/>
    <w:rsid w:val="00E54AB2"/>
    <w:rsid w:val="00E57DCB"/>
    <w:rsid w:val="00E61351"/>
    <w:rsid w:val="00E648E5"/>
    <w:rsid w:val="00E70BAF"/>
    <w:rsid w:val="00E70CAE"/>
    <w:rsid w:val="00E7335D"/>
    <w:rsid w:val="00E74E53"/>
    <w:rsid w:val="00E7533B"/>
    <w:rsid w:val="00E75DE7"/>
    <w:rsid w:val="00E7609B"/>
    <w:rsid w:val="00E76608"/>
    <w:rsid w:val="00E76B49"/>
    <w:rsid w:val="00E81533"/>
    <w:rsid w:val="00E8207F"/>
    <w:rsid w:val="00E8256D"/>
    <w:rsid w:val="00E8419D"/>
    <w:rsid w:val="00E84D09"/>
    <w:rsid w:val="00E90AFF"/>
    <w:rsid w:val="00E9110E"/>
    <w:rsid w:val="00E92B27"/>
    <w:rsid w:val="00E93113"/>
    <w:rsid w:val="00E94DC4"/>
    <w:rsid w:val="00EA06BB"/>
    <w:rsid w:val="00EA23CF"/>
    <w:rsid w:val="00EA25B3"/>
    <w:rsid w:val="00EA4649"/>
    <w:rsid w:val="00EA5648"/>
    <w:rsid w:val="00EA619C"/>
    <w:rsid w:val="00EB11DD"/>
    <w:rsid w:val="00EB27C7"/>
    <w:rsid w:val="00EB284D"/>
    <w:rsid w:val="00EB36E0"/>
    <w:rsid w:val="00EB7C2A"/>
    <w:rsid w:val="00EC021C"/>
    <w:rsid w:val="00EC15F1"/>
    <w:rsid w:val="00EC38C1"/>
    <w:rsid w:val="00EC7DFB"/>
    <w:rsid w:val="00ED405C"/>
    <w:rsid w:val="00ED5D39"/>
    <w:rsid w:val="00ED5FED"/>
    <w:rsid w:val="00EE22AD"/>
    <w:rsid w:val="00EE4D5E"/>
    <w:rsid w:val="00EE536B"/>
    <w:rsid w:val="00EE5A6E"/>
    <w:rsid w:val="00EE5D60"/>
    <w:rsid w:val="00EE5DAE"/>
    <w:rsid w:val="00EF0379"/>
    <w:rsid w:val="00EF0F3F"/>
    <w:rsid w:val="00EF1468"/>
    <w:rsid w:val="00EF2427"/>
    <w:rsid w:val="00EF4193"/>
    <w:rsid w:val="00EF4492"/>
    <w:rsid w:val="00EF4DFF"/>
    <w:rsid w:val="00EF6B97"/>
    <w:rsid w:val="00EF6C46"/>
    <w:rsid w:val="00F001FD"/>
    <w:rsid w:val="00F0045D"/>
    <w:rsid w:val="00F01680"/>
    <w:rsid w:val="00F01B82"/>
    <w:rsid w:val="00F04DB2"/>
    <w:rsid w:val="00F04E2B"/>
    <w:rsid w:val="00F128EF"/>
    <w:rsid w:val="00F14509"/>
    <w:rsid w:val="00F14EB9"/>
    <w:rsid w:val="00F17A5E"/>
    <w:rsid w:val="00F212E3"/>
    <w:rsid w:val="00F21C32"/>
    <w:rsid w:val="00F22AAF"/>
    <w:rsid w:val="00F2415E"/>
    <w:rsid w:val="00F2425B"/>
    <w:rsid w:val="00F246E4"/>
    <w:rsid w:val="00F26D4D"/>
    <w:rsid w:val="00F270C9"/>
    <w:rsid w:val="00F27330"/>
    <w:rsid w:val="00F27F8A"/>
    <w:rsid w:val="00F31153"/>
    <w:rsid w:val="00F32F84"/>
    <w:rsid w:val="00F40E4E"/>
    <w:rsid w:val="00F4210F"/>
    <w:rsid w:val="00F43350"/>
    <w:rsid w:val="00F43C98"/>
    <w:rsid w:val="00F43FED"/>
    <w:rsid w:val="00F46EE0"/>
    <w:rsid w:val="00F52CDE"/>
    <w:rsid w:val="00F56D0F"/>
    <w:rsid w:val="00F617D6"/>
    <w:rsid w:val="00F62A63"/>
    <w:rsid w:val="00F63FAB"/>
    <w:rsid w:val="00F64D15"/>
    <w:rsid w:val="00F655E0"/>
    <w:rsid w:val="00F714A1"/>
    <w:rsid w:val="00F718FE"/>
    <w:rsid w:val="00F7264D"/>
    <w:rsid w:val="00F73473"/>
    <w:rsid w:val="00F735FD"/>
    <w:rsid w:val="00F74AAD"/>
    <w:rsid w:val="00F75059"/>
    <w:rsid w:val="00F76E54"/>
    <w:rsid w:val="00F77FA3"/>
    <w:rsid w:val="00F80CC6"/>
    <w:rsid w:val="00F8144B"/>
    <w:rsid w:val="00F86363"/>
    <w:rsid w:val="00F90DBC"/>
    <w:rsid w:val="00F92A60"/>
    <w:rsid w:val="00F92B58"/>
    <w:rsid w:val="00F93C8F"/>
    <w:rsid w:val="00F94813"/>
    <w:rsid w:val="00F957B4"/>
    <w:rsid w:val="00F960C2"/>
    <w:rsid w:val="00F974A1"/>
    <w:rsid w:val="00FA053D"/>
    <w:rsid w:val="00FA11E8"/>
    <w:rsid w:val="00FA182D"/>
    <w:rsid w:val="00FA1E64"/>
    <w:rsid w:val="00FA2EB8"/>
    <w:rsid w:val="00FA4C1B"/>
    <w:rsid w:val="00FA61F0"/>
    <w:rsid w:val="00FB09FF"/>
    <w:rsid w:val="00FB1346"/>
    <w:rsid w:val="00FB1AD2"/>
    <w:rsid w:val="00FB2EA7"/>
    <w:rsid w:val="00FB3EBE"/>
    <w:rsid w:val="00FB6BD4"/>
    <w:rsid w:val="00FC1CCD"/>
    <w:rsid w:val="00FC20D6"/>
    <w:rsid w:val="00FC4E0E"/>
    <w:rsid w:val="00FC53A7"/>
    <w:rsid w:val="00FC5419"/>
    <w:rsid w:val="00FD0B73"/>
    <w:rsid w:val="00FD2992"/>
    <w:rsid w:val="00FD3008"/>
    <w:rsid w:val="00FD3EF1"/>
    <w:rsid w:val="00FD52EC"/>
    <w:rsid w:val="00FE61A2"/>
    <w:rsid w:val="00FF0FE1"/>
    <w:rsid w:val="00F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5ECA9-3B9E-4817-B749-24D54B67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ind w:left="917" w:hanging="917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/>
      <w:ind w:left="917" w:hanging="917"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851"/>
      </w:tabs>
      <w:ind w:firstLine="71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widowControl/>
      <w:ind w:left="917" w:hanging="175"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spacing w:line="288" w:lineRule="auto"/>
      <w:ind w:left="917" w:right="459" w:hanging="917"/>
      <w:jc w:val="right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pPr>
      <w:keepNext/>
      <w:spacing w:line="264" w:lineRule="auto"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widowControl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a4">
    <w:name w:val="caption"/>
    <w:basedOn w:val="a"/>
    <w:next w:val="a"/>
    <w:qFormat/>
    <w:rPr>
      <w:sz w:val="24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firstLine="720"/>
    </w:pPr>
    <w:rPr>
      <w:sz w:val="28"/>
    </w:rPr>
  </w:style>
  <w:style w:type="paragraph" w:styleId="21">
    <w:name w:val="Body Text 2"/>
    <w:basedOn w:val="a"/>
    <w:pPr>
      <w:widowControl/>
      <w:ind w:right="34"/>
      <w:jc w:val="both"/>
    </w:pPr>
    <w:rPr>
      <w:snapToGrid w:val="0"/>
      <w:color w:val="000000"/>
      <w:sz w:val="22"/>
    </w:rPr>
  </w:style>
  <w:style w:type="paragraph" w:customStyle="1" w:styleId="210">
    <w:name w:val="Основной текст 21"/>
    <w:basedOn w:val="a"/>
    <w:pPr>
      <w:widowControl/>
      <w:ind w:firstLine="709"/>
      <w:jc w:val="both"/>
    </w:pPr>
    <w:rPr>
      <w:sz w:val="26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semiHidden/>
    <w:pPr>
      <w:widowControl/>
    </w:pPr>
  </w:style>
  <w:style w:type="paragraph" w:styleId="a8">
    <w:name w:val="Balloon Text"/>
    <w:basedOn w:val="a"/>
    <w:semiHidden/>
    <w:rsid w:val="00D84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A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semiHidden/>
    <w:rsid w:val="00A30B8C"/>
    <w:rPr>
      <w:sz w:val="16"/>
      <w:szCs w:val="16"/>
    </w:rPr>
  </w:style>
  <w:style w:type="paragraph" w:styleId="ab">
    <w:name w:val="annotation text"/>
    <w:basedOn w:val="a"/>
    <w:semiHidden/>
    <w:rsid w:val="00A30B8C"/>
  </w:style>
  <w:style w:type="paragraph" w:styleId="ac">
    <w:name w:val="annotation subject"/>
    <w:basedOn w:val="ab"/>
    <w:next w:val="ab"/>
    <w:semiHidden/>
    <w:rsid w:val="00A30B8C"/>
    <w:rPr>
      <w:b/>
      <w:bCs/>
    </w:rPr>
  </w:style>
  <w:style w:type="paragraph" w:styleId="ad">
    <w:name w:val="Normal (Web)"/>
    <w:basedOn w:val="a"/>
    <w:rsid w:val="00A6399A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character" w:styleId="ae">
    <w:name w:val="Strong"/>
    <w:qFormat/>
    <w:rsid w:val="00A6399A"/>
    <w:rPr>
      <w:b/>
      <w:bCs/>
    </w:rPr>
  </w:style>
  <w:style w:type="character" w:styleId="af">
    <w:name w:val="Emphasis"/>
    <w:qFormat/>
    <w:rsid w:val="00A6399A"/>
    <w:rPr>
      <w:i/>
      <w:iCs/>
    </w:rPr>
  </w:style>
  <w:style w:type="paragraph" w:styleId="af0">
    <w:name w:val="Title"/>
    <w:basedOn w:val="a"/>
    <w:qFormat/>
    <w:rsid w:val="006B544A"/>
    <w:pPr>
      <w:widowControl/>
      <w:jc w:val="center"/>
    </w:pPr>
    <w:rPr>
      <w:b/>
      <w:sz w:val="28"/>
      <w:lang w:val="ru-RU"/>
    </w:rPr>
  </w:style>
  <w:style w:type="paragraph" w:customStyle="1" w:styleId="111">
    <w:name w:val="Знак Знак Знак Знак Знак Знак1 Знак Знак Знак1 Знак Знак Знак1 Знак Знак Знак Знак Знак Знак Знак Знак Знак Знак Знак Знак Знак"/>
    <w:basedOn w:val="a"/>
    <w:rsid w:val="004B20BD"/>
    <w:pPr>
      <w:widowControl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1 Знак Знак Знак"/>
    <w:basedOn w:val="a"/>
    <w:rsid w:val="002342D4"/>
    <w:pPr>
      <w:widowControl/>
    </w:pPr>
    <w:rPr>
      <w:rFonts w:ascii="Verdana" w:hAnsi="Verdana" w:cs="Verdana"/>
      <w:lang w:val="en-US" w:eastAsia="en-US"/>
    </w:rPr>
  </w:style>
  <w:style w:type="paragraph" w:customStyle="1" w:styleId="1110">
    <w:name w:val="Знак Знак Знак Знак Знак Знак1 Знак Знак Знак1 Знак Знак Знак1 Знак Знак Знак Знак"/>
    <w:basedOn w:val="a"/>
    <w:rsid w:val="00AD713E"/>
    <w:pPr>
      <w:widowControl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 Знак Знак Знак"/>
    <w:basedOn w:val="a"/>
    <w:rsid w:val="00EC38C1"/>
    <w:pPr>
      <w:widowControl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 Знак Знак Знак Знак Знак Знак Знак Знак"/>
    <w:basedOn w:val="a"/>
    <w:rsid w:val="00332FF2"/>
    <w:pPr>
      <w:widowControl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1 Знак Знак Знак1 Знак"/>
    <w:basedOn w:val="a"/>
    <w:rsid w:val="00D44414"/>
    <w:pPr>
      <w:widowControl/>
    </w:pPr>
    <w:rPr>
      <w:rFonts w:ascii="Verdana" w:hAnsi="Verdana" w:cs="Verdana"/>
      <w:lang w:val="en-US" w:eastAsia="en-US"/>
    </w:rPr>
  </w:style>
  <w:style w:type="paragraph" w:customStyle="1" w:styleId="af3">
    <w:name w:val="Знак"/>
    <w:basedOn w:val="a"/>
    <w:rsid w:val="00F26D4D"/>
    <w:pPr>
      <w:widowControl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930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8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522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5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6722408026756E-2"/>
          <c:y val="2.6032447468576313E-2"/>
          <c:w val="0.88789998997177533"/>
          <c:h val="0.567700272693577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'база доклад2009'!$B$2</c:f>
              <c:strCache>
                <c:ptCount val="1"/>
                <c:pt idx="0">
                  <c:v>Знаходились у відпустках без збереження заробітної плати (на період припинення робіт)</c:v>
                </c:pt>
              </c:strCache>
            </c:strRef>
          </c:tx>
          <c:spPr>
            <a:pattFill prst="wd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'база доклад2009'!$A$3:$A$8</c:f>
              <c:strCache>
                <c:ptCount val="6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складське господарство, поштова та кур'єрська діяльність</c:v>
                </c:pt>
              </c:strCache>
            </c:strRef>
          </c:cat>
          <c:val>
            <c:numRef>
              <c:f>'база доклад2009'!$B$3:$B$8</c:f>
              <c:numCache>
                <c:formatCode>General</c:formatCode>
                <c:ptCount val="6"/>
                <c:pt idx="0" formatCode="0.0">
                  <c:v>0.8</c:v>
                </c:pt>
                <c:pt idx="1">
                  <c:v>0.5</c:v>
                </c:pt>
                <c:pt idx="2" formatCode="0.0">
                  <c:v>1.8</c:v>
                </c:pt>
                <c:pt idx="3" formatCode="0.0">
                  <c:v>3.6</c:v>
                </c:pt>
                <c:pt idx="4" formatCode="0.0">
                  <c:v>0.6</c:v>
                </c:pt>
                <c:pt idx="5">
                  <c:v>0.4</c:v>
                </c:pt>
              </c:numCache>
            </c:numRef>
          </c:val>
        </c:ser>
        <c:ser>
          <c:idx val="1"/>
          <c:order val="1"/>
          <c:tx>
            <c:strRef>
              <c:f>'база доклад2009'!$C$2</c:f>
              <c:strCache>
                <c:ptCount val="1"/>
                <c:pt idx="0">
                  <c:v>Переведені з економічних причин на неповний робочий день (тиждень)</c:v>
                </c:pt>
              </c:strCache>
            </c:strRef>
          </c:tx>
          <c:spPr>
            <a:pattFill prst="shingle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'база доклад2009'!$A$3:$A$8</c:f>
              <c:strCache>
                <c:ptCount val="6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складське господарство, поштова та кур'єрська діяльність</c:v>
                </c:pt>
              </c:strCache>
            </c:strRef>
          </c:cat>
          <c:val>
            <c:numRef>
              <c:f>'база доклад2009'!$C$3:$C$8</c:f>
              <c:numCache>
                <c:formatCode>0.0</c:formatCode>
                <c:ptCount val="6"/>
                <c:pt idx="0">
                  <c:v>9.1999999999999993</c:v>
                </c:pt>
                <c:pt idx="1">
                  <c:v>3.9</c:v>
                </c:pt>
                <c:pt idx="2" formatCode="General">
                  <c:v>19.2</c:v>
                </c:pt>
                <c:pt idx="3">
                  <c:v>14</c:v>
                </c:pt>
                <c:pt idx="4">
                  <c:v>2.2000000000000002</c:v>
                </c:pt>
                <c:pt idx="5">
                  <c:v>32.4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407328"/>
        <c:axId val="226406768"/>
      </c:barChart>
      <c:catAx>
        <c:axId val="22640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2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640676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26406768"/>
        <c:scaling>
          <c:orientation val="minMax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272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6407328"/>
        <c:crosses val="autoZero"/>
        <c:crossBetween val="between"/>
        <c:majorUnit val="10"/>
        <c:minorUnit val="1"/>
      </c:valAx>
      <c:spPr>
        <a:solidFill>
          <a:srgbClr val="FFFFFF"/>
        </a:solidFill>
        <a:ln w="25454">
          <a:noFill/>
        </a:ln>
      </c:spPr>
    </c:plotArea>
    <c:legend>
      <c:legendPos val="b"/>
      <c:layout>
        <c:manualLayout>
          <c:xMode val="edge"/>
          <c:yMode val="edge"/>
          <c:x val="0.11435493640218049"/>
          <c:y val="0.87425732318577232"/>
          <c:w val="0.75792342758774578"/>
          <c:h val="0.10810804167873667"/>
        </c:manualLayout>
      </c:layout>
      <c:overlay val="0"/>
      <c:spPr>
        <a:solidFill>
          <a:srgbClr val="FFFFFF"/>
        </a:solidFill>
        <a:ln w="3182">
          <a:solidFill>
            <a:srgbClr val="000000"/>
          </a:solidFill>
          <a:prstDash val="solid"/>
        </a:ln>
      </c:spPr>
      <c:txPr>
        <a:bodyPr/>
        <a:lstStyle/>
        <a:p>
          <a:pPr>
            <a:defRPr sz="802" b="0" i="0" u="none" strike="noStrike" kern="1200" spc="0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62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309155426769788E-2"/>
          <c:y val="6.8038520386631884E-2"/>
          <c:w val="0.91682975475482498"/>
          <c:h val="0.735291894468473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Лист1!$B$4</c:f>
              <c:strCache>
                <c:ptCount val="1"/>
                <c:pt idx="0">
                  <c:v> У межах прожиткового мінімуму для працездатної особи 2010р. - 922 грн, 2011р. - 1004 грн, 2012р. - 1134 грн, 2013р. - 1218 грн, 2014р. - 1218 грн, 2015р. - 1378 грн</c:v>
                </c:pt>
              </c:strCache>
            </c:strRef>
          </c:tx>
          <c:spPr>
            <a:pattFill prst="pct10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091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182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8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Лист1!$A$5:$A$10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Лист1!$B$5:$B$10</c:f>
              <c:numCache>
                <c:formatCode>General</c:formatCode>
                <c:ptCount val="6"/>
                <c:pt idx="0">
                  <c:v>7.1</c:v>
                </c:pt>
                <c:pt idx="1">
                  <c:v>5.5</c:v>
                </c:pt>
                <c:pt idx="2">
                  <c:v>5.2</c:v>
                </c:pt>
                <c:pt idx="3" formatCode="0.0">
                  <c:v>4.9000000000000004</c:v>
                </c:pt>
                <c:pt idx="4" formatCode="0.0">
                  <c:v>4.4000000000000004</c:v>
                </c:pt>
                <c:pt idx="5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409568"/>
        <c:axId val="226417536"/>
      </c:barChart>
      <c:catAx>
        <c:axId val="22640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0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8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6417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641753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68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412470500011028E-2"/>
              <c:y val="1.9113842223727969E-2"/>
            </c:manualLayout>
          </c:layout>
          <c:overlay val="0"/>
          <c:spPr>
            <a:noFill/>
            <a:ln w="21829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10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8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6409568"/>
        <c:crosses val="autoZero"/>
        <c:crossBetween val="between"/>
      </c:valAx>
      <c:spPr>
        <a:solidFill>
          <a:srgbClr val="FFFFFF"/>
        </a:solidFill>
        <a:ln w="21829">
          <a:noFill/>
        </a:ln>
      </c:spPr>
    </c:plotArea>
    <c:legend>
      <c:legendPos val="b"/>
      <c:layout>
        <c:manualLayout>
          <c:xMode val="edge"/>
          <c:yMode val="edge"/>
          <c:x val="0.15241999161869474"/>
          <c:y val="0.88173960450789346"/>
          <c:w val="0.74784997463552338"/>
          <c:h val="0.10459559023964737"/>
        </c:manualLayout>
      </c:layout>
      <c:overlay val="0"/>
      <c:spPr>
        <a:solidFill>
          <a:srgbClr val="FFFFFF"/>
        </a:solidFill>
        <a:ln w="2729">
          <a:solidFill>
            <a:srgbClr val="000000"/>
          </a:solidFill>
          <a:prstDash val="solid"/>
        </a:ln>
      </c:spPr>
      <c:txPr>
        <a:bodyPr/>
        <a:lstStyle/>
        <a:p>
          <a:pPr>
            <a:defRPr sz="68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8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2687A-AFA5-4A05-BE1D-8D0240BA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9431</Words>
  <Characters>5376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Номінальна заробітна плата одного штатного працівника у січні-липні 2002р</vt:lpstr>
    </vt:vector>
  </TitlesOfParts>
  <Company>GKS</Company>
  <LinksUpToDate>false</LinksUpToDate>
  <CharactersWithSpaces>14778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Номінальна заробітна плата одного штатного працівника у січні-липні 2002р</dc:title>
  <dc:subject/>
  <dc:creator>PC130008</dc:creator>
  <cp:keywords/>
  <dc:description/>
  <cp:lastModifiedBy>I.Yacenko</cp:lastModifiedBy>
  <cp:revision>7</cp:revision>
  <cp:lastPrinted>2016-07-20T13:46:00Z</cp:lastPrinted>
  <dcterms:created xsi:type="dcterms:W3CDTF">2016-07-20T13:33:00Z</dcterms:created>
  <dcterms:modified xsi:type="dcterms:W3CDTF">2016-07-20T13:58:00Z</dcterms:modified>
</cp:coreProperties>
</file>