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BC7" w:rsidRPr="00DA51B6" w:rsidRDefault="000B5BC7" w:rsidP="00E02EE4">
      <w:pPr>
        <w:pStyle w:val="a3"/>
        <w:widowControl w:val="0"/>
        <w:rPr>
          <w:rFonts w:ascii="Times New Roman" w:hAnsi="Times New Roman"/>
          <w:szCs w:val="28"/>
        </w:rPr>
      </w:pPr>
      <w:r w:rsidRPr="00DA51B6">
        <w:rPr>
          <w:rFonts w:ascii="Times New Roman" w:hAnsi="Times New Roman"/>
          <w:szCs w:val="28"/>
        </w:rPr>
        <w:t>Наукова та науково-технічна діял</w:t>
      </w:r>
      <w:r w:rsidRPr="00DA51B6">
        <w:rPr>
          <w:rFonts w:ascii="Times New Roman" w:hAnsi="Times New Roman"/>
          <w:szCs w:val="28"/>
        </w:rPr>
        <w:t>ь</w:t>
      </w:r>
      <w:r w:rsidRPr="00DA51B6">
        <w:rPr>
          <w:rFonts w:ascii="Times New Roman" w:hAnsi="Times New Roman"/>
          <w:szCs w:val="28"/>
        </w:rPr>
        <w:t>ність в Україні у 201</w:t>
      </w:r>
      <w:r w:rsidR="00231ED0" w:rsidRPr="00231ED0">
        <w:rPr>
          <w:rFonts w:ascii="Times New Roman" w:hAnsi="Times New Roman"/>
          <w:szCs w:val="28"/>
          <w:lang w:val="ru-RU"/>
        </w:rPr>
        <w:t>4</w:t>
      </w:r>
      <w:r w:rsidR="00DA278C" w:rsidRPr="00DA51B6">
        <w:rPr>
          <w:rFonts w:ascii="Times New Roman" w:hAnsi="Times New Roman"/>
          <w:szCs w:val="28"/>
        </w:rPr>
        <w:t xml:space="preserve"> </w:t>
      </w:r>
      <w:r w:rsidRPr="00DA51B6">
        <w:rPr>
          <w:rFonts w:ascii="Times New Roman" w:hAnsi="Times New Roman"/>
          <w:szCs w:val="28"/>
        </w:rPr>
        <w:t>р</w:t>
      </w:r>
      <w:r w:rsidR="00DA278C" w:rsidRPr="00DA51B6">
        <w:rPr>
          <w:rFonts w:ascii="Times New Roman" w:hAnsi="Times New Roman"/>
          <w:szCs w:val="28"/>
        </w:rPr>
        <w:t>оці</w:t>
      </w:r>
      <w:r w:rsidR="009E39E5" w:rsidRPr="009E39E5">
        <w:rPr>
          <w:rStyle w:val="ab"/>
          <w:rFonts w:ascii="Times New Roman" w:hAnsi="Times New Roman"/>
          <w:b w:val="0"/>
          <w:szCs w:val="28"/>
        </w:rPr>
        <w:footnoteReference w:id="1"/>
      </w:r>
      <w:r w:rsidRPr="00DA51B6">
        <w:rPr>
          <w:rFonts w:ascii="Times New Roman" w:hAnsi="Times New Roman"/>
          <w:szCs w:val="28"/>
        </w:rPr>
        <w:t xml:space="preserve"> </w:t>
      </w:r>
    </w:p>
    <w:p w:rsidR="000B5BC7" w:rsidRPr="00E02EE4" w:rsidRDefault="000B5BC7" w:rsidP="000B5BC7">
      <w:pPr>
        <w:widowControl w:val="0"/>
        <w:jc w:val="both"/>
        <w:rPr>
          <w:sz w:val="28"/>
          <w:szCs w:val="28"/>
        </w:rPr>
      </w:pPr>
    </w:p>
    <w:p w:rsidR="000F479E" w:rsidRDefault="000B5BC7" w:rsidP="007F01C8">
      <w:pPr>
        <w:pStyle w:val="3"/>
        <w:widowControl w:val="0"/>
        <w:ind w:firstLine="748"/>
        <w:rPr>
          <w:sz w:val="28"/>
          <w:u w:val="none"/>
        </w:rPr>
      </w:pPr>
      <w:r w:rsidRPr="00DA51B6">
        <w:rPr>
          <w:sz w:val="28"/>
          <w:u w:val="none"/>
        </w:rPr>
        <w:t>У</w:t>
      </w:r>
      <w:r w:rsidR="002362FA">
        <w:rPr>
          <w:sz w:val="28"/>
          <w:u w:val="none"/>
        </w:rPr>
        <w:t>продовж</w:t>
      </w:r>
      <w:r w:rsidRPr="00DA51B6">
        <w:rPr>
          <w:sz w:val="28"/>
          <w:u w:val="none"/>
        </w:rPr>
        <w:t xml:space="preserve"> 201</w:t>
      </w:r>
      <w:r w:rsidR="00231ED0">
        <w:rPr>
          <w:sz w:val="28"/>
          <w:u w:val="none"/>
          <w:lang w:val="en-US"/>
        </w:rPr>
        <w:t>4</w:t>
      </w:r>
      <w:r w:rsidRPr="00DA51B6">
        <w:rPr>
          <w:sz w:val="28"/>
          <w:u w:val="none"/>
        </w:rPr>
        <w:t xml:space="preserve">р. наукові та науково-технічні роботи </w:t>
      </w:r>
      <w:r w:rsidR="00E83C4F">
        <w:rPr>
          <w:sz w:val="28"/>
          <w:u w:val="none"/>
        </w:rPr>
        <w:t xml:space="preserve">в Україні </w:t>
      </w:r>
      <w:r w:rsidRPr="00DA51B6">
        <w:rPr>
          <w:sz w:val="28"/>
          <w:u w:val="none"/>
        </w:rPr>
        <w:t xml:space="preserve">виконували </w:t>
      </w:r>
      <w:r w:rsidR="00231ED0">
        <w:rPr>
          <w:sz w:val="28"/>
          <w:u w:val="none"/>
          <w:lang w:val="en-US"/>
        </w:rPr>
        <w:t>999</w:t>
      </w:r>
      <w:r w:rsidRPr="00DA51B6">
        <w:rPr>
          <w:sz w:val="28"/>
          <w:u w:val="none"/>
        </w:rPr>
        <w:t xml:space="preserve"> організаці</w:t>
      </w:r>
      <w:r w:rsidR="00231ED0">
        <w:rPr>
          <w:sz w:val="28"/>
          <w:u w:val="none"/>
        </w:rPr>
        <w:t>й</w:t>
      </w:r>
      <w:r w:rsidRPr="00DA51B6">
        <w:rPr>
          <w:sz w:val="28"/>
          <w:u w:val="none"/>
        </w:rPr>
        <w:t xml:space="preserve">, </w:t>
      </w:r>
      <w:r w:rsidR="00231ED0">
        <w:rPr>
          <w:sz w:val="28"/>
          <w:u w:val="none"/>
        </w:rPr>
        <w:t>42,2%</w:t>
      </w:r>
      <w:r w:rsidRPr="00DA51B6">
        <w:rPr>
          <w:sz w:val="28"/>
          <w:u w:val="none"/>
        </w:rPr>
        <w:t xml:space="preserve"> з яких</w:t>
      </w:r>
      <w:r w:rsidR="00122300">
        <w:rPr>
          <w:sz w:val="28"/>
          <w:u w:val="none"/>
        </w:rPr>
        <w:t xml:space="preserve"> </w:t>
      </w:r>
      <w:r w:rsidRPr="00DA51B6">
        <w:rPr>
          <w:sz w:val="28"/>
          <w:u w:val="none"/>
        </w:rPr>
        <w:t>відносяться до підприє</w:t>
      </w:r>
      <w:r w:rsidRPr="00DA51B6">
        <w:rPr>
          <w:sz w:val="28"/>
          <w:u w:val="none"/>
        </w:rPr>
        <w:t>м</w:t>
      </w:r>
      <w:r w:rsidRPr="00DA51B6">
        <w:rPr>
          <w:sz w:val="28"/>
          <w:u w:val="none"/>
        </w:rPr>
        <w:t xml:space="preserve">ницького сектору економіки, </w:t>
      </w:r>
      <w:r w:rsidR="00231ED0">
        <w:rPr>
          <w:sz w:val="28"/>
          <w:u w:val="none"/>
        </w:rPr>
        <w:t>42,0</w:t>
      </w:r>
      <w:r w:rsidR="0010523E">
        <w:rPr>
          <w:sz w:val="28"/>
          <w:u w:val="none"/>
        </w:rPr>
        <w:t>%</w:t>
      </w:r>
      <w:r w:rsidRPr="00DA51B6">
        <w:rPr>
          <w:sz w:val="28"/>
          <w:u w:val="none"/>
        </w:rPr>
        <w:t xml:space="preserve"> – до державного, </w:t>
      </w:r>
      <w:r w:rsidR="00122300">
        <w:rPr>
          <w:sz w:val="28"/>
          <w:u w:val="none"/>
        </w:rPr>
        <w:t>15,</w:t>
      </w:r>
      <w:r w:rsidR="00231ED0">
        <w:rPr>
          <w:sz w:val="28"/>
          <w:u w:val="none"/>
        </w:rPr>
        <w:t>8</w:t>
      </w:r>
      <w:r w:rsidR="0010523E">
        <w:rPr>
          <w:sz w:val="28"/>
          <w:u w:val="none"/>
        </w:rPr>
        <w:t>%</w:t>
      </w:r>
      <w:r w:rsidRPr="00DA51B6">
        <w:rPr>
          <w:sz w:val="28"/>
          <w:u w:val="none"/>
        </w:rPr>
        <w:t xml:space="preserve"> – вищої освіти. </w:t>
      </w:r>
    </w:p>
    <w:p w:rsidR="004E13CC" w:rsidRPr="000C40FD" w:rsidRDefault="004E13CC" w:rsidP="007F01C8">
      <w:pPr>
        <w:pStyle w:val="3"/>
        <w:widowControl w:val="0"/>
        <w:ind w:firstLine="748"/>
        <w:rPr>
          <w:sz w:val="28"/>
          <w:u w:val="none"/>
        </w:rPr>
      </w:pPr>
    </w:p>
    <w:p w:rsidR="000B5BC7" w:rsidRPr="004E13CC" w:rsidRDefault="000B5BC7" w:rsidP="004E13CC">
      <w:pPr>
        <w:pStyle w:val="a4"/>
        <w:widowControl w:val="0"/>
        <w:ind w:firstLine="0"/>
        <w:jc w:val="center"/>
        <w:rPr>
          <w:b/>
          <w:szCs w:val="28"/>
        </w:rPr>
      </w:pPr>
      <w:r w:rsidRPr="004E13CC">
        <w:rPr>
          <w:b/>
          <w:szCs w:val="28"/>
        </w:rPr>
        <w:t xml:space="preserve">Розподіл кількості організацій, які виконували наукові </w:t>
      </w:r>
    </w:p>
    <w:p w:rsidR="000B5BC7" w:rsidRDefault="004B4560" w:rsidP="004E13CC">
      <w:pPr>
        <w:pStyle w:val="a4"/>
        <w:widowControl w:val="0"/>
        <w:ind w:firstLine="0"/>
        <w:jc w:val="center"/>
        <w:rPr>
          <w:szCs w:val="28"/>
        </w:rPr>
      </w:pPr>
      <w:r w:rsidRPr="004E13CC">
        <w:rPr>
          <w:noProof/>
          <w:szCs w:val="28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215900</wp:posOffset>
            </wp:positionV>
            <wp:extent cx="5488305" cy="2604770"/>
            <wp:effectExtent l="0" t="0" r="0" b="0"/>
            <wp:wrapTopAndBottom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5BC7" w:rsidRPr="004E13CC">
        <w:rPr>
          <w:b/>
          <w:szCs w:val="28"/>
        </w:rPr>
        <w:t>та науково-технічні р</w:t>
      </w:r>
      <w:r w:rsidR="000B5BC7" w:rsidRPr="004E13CC">
        <w:rPr>
          <w:b/>
          <w:szCs w:val="28"/>
        </w:rPr>
        <w:t>о</w:t>
      </w:r>
      <w:r w:rsidR="000B5BC7" w:rsidRPr="004E13CC">
        <w:rPr>
          <w:b/>
          <w:szCs w:val="28"/>
        </w:rPr>
        <w:t xml:space="preserve">боти, за галузями наук, </w:t>
      </w:r>
      <w:r w:rsidR="0010523E" w:rsidRPr="004E13CC">
        <w:rPr>
          <w:szCs w:val="28"/>
        </w:rPr>
        <w:t>%</w:t>
      </w:r>
    </w:p>
    <w:p w:rsidR="004E13CC" w:rsidRPr="004E13CC" w:rsidRDefault="004E13CC" w:rsidP="004E13CC">
      <w:pPr>
        <w:pStyle w:val="a4"/>
        <w:widowControl w:val="0"/>
        <w:ind w:firstLine="0"/>
        <w:jc w:val="center"/>
        <w:rPr>
          <w:szCs w:val="28"/>
        </w:rPr>
      </w:pPr>
    </w:p>
    <w:p w:rsidR="007E1F19" w:rsidRDefault="00511684" w:rsidP="000B5BC7">
      <w:pPr>
        <w:pStyle w:val="a4"/>
        <w:widowControl w:val="0"/>
        <w:ind w:firstLine="748"/>
        <w:rPr>
          <w:szCs w:val="28"/>
        </w:rPr>
      </w:pPr>
      <w:r>
        <w:t>Загальна</w:t>
      </w:r>
      <w:r w:rsidR="000B5BC7" w:rsidRPr="00DA51B6">
        <w:t xml:space="preserve"> </w:t>
      </w:r>
      <w:r w:rsidR="005D2E48">
        <w:t>кільк</w:t>
      </w:r>
      <w:r>
        <w:t>і</w:t>
      </w:r>
      <w:r w:rsidR="005D2E48">
        <w:t>ст</w:t>
      </w:r>
      <w:r>
        <w:t>ь</w:t>
      </w:r>
      <w:r w:rsidR="000B5BC7" w:rsidRPr="00DA51B6">
        <w:t xml:space="preserve"> працівників організацій, які виконували наукові та науково-технічні роботи, </w:t>
      </w:r>
      <w:r w:rsidR="00DA51B6" w:rsidRPr="00DA51B6">
        <w:t>на кінець</w:t>
      </w:r>
      <w:r w:rsidR="000B5BC7" w:rsidRPr="00DA51B6">
        <w:t xml:space="preserve"> 201</w:t>
      </w:r>
      <w:r>
        <w:t>4</w:t>
      </w:r>
      <w:r w:rsidR="000B5BC7" w:rsidRPr="00DA51B6">
        <w:t xml:space="preserve">р. становила </w:t>
      </w:r>
      <w:r w:rsidR="00FA25E0">
        <w:t>109</w:t>
      </w:r>
      <w:r w:rsidR="009751A3">
        <w:t>,</w:t>
      </w:r>
      <w:r w:rsidR="00FA25E0">
        <w:t>6</w:t>
      </w:r>
      <w:r w:rsidR="000B5BC7" w:rsidRPr="00DA51B6">
        <w:t xml:space="preserve"> тис. осіб, у т</w:t>
      </w:r>
      <w:r w:rsidR="00FA25E0">
        <w:t xml:space="preserve">ому </w:t>
      </w:r>
      <w:r w:rsidR="000B5BC7" w:rsidRPr="00DA51B6">
        <w:t>ч</w:t>
      </w:r>
      <w:r w:rsidR="00FA25E0">
        <w:t>ислі</w:t>
      </w:r>
      <w:r w:rsidR="000B5BC7" w:rsidRPr="00DA51B6">
        <w:t xml:space="preserve"> дослідників – </w:t>
      </w:r>
      <w:r w:rsidR="00FA25E0">
        <w:t>58,7 тис. осіб</w:t>
      </w:r>
      <w:r w:rsidR="000B5BC7" w:rsidRPr="00DA51B6">
        <w:t>,</w:t>
      </w:r>
      <w:r w:rsidR="000B5BC7" w:rsidRPr="00DA51B6">
        <w:rPr>
          <w:sz w:val="16"/>
          <w:szCs w:val="16"/>
        </w:rPr>
        <w:t xml:space="preserve"> </w:t>
      </w:r>
      <w:r w:rsidR="000B5BC7" w:rsidRPr="00DA51B6">
        <w:t>те</w:t>
      </w:r>
      <w:r w:rsidR="000B5BC7" w:rsidRPr="00DA51B6">
        <w:t>х</w:t>
      </w:r>
      <w:r w:rsidR="000B5BC7" w:rsidRPr="00DA51B6">
        <w:t xml:space="preserve">ніків – </w:t>
      </w:r>
      <w:r w:rsidR="00FA25E0">
        <w:t>10,7 тис. осіб</w:t>
      </w:r>
      <w:r w:rsidR="000B5BC7" w:rsidRPr="00DA51B6">
        <w:t>, допоміжного</w:t>
      </w:r>
      <w:r w:rsidR="000B5BC7" w:rsidRPr="00DA51B6">
        <w:rPr>
          <w:sz w:val="20"/>
        </w:rPr>
        <w:t xml:space="preserve"> </w:t>
      </w:r>
      <w:r w:rsidR="000B5BC7" w:rsidRPr="00DA51B6">
        <w:t xml:space="preserve">персоналу </w:t>
      </w:r>
      <w:r w:rsidR="00FA25E0">
        <w:t xml:space="preserve">та </w:t>
      </w:r>
      <w:r w:rsidR="00FA25E0" w:rsidRPr="00DA51B6">
        <w:t>інших праці</w:t>
      </w:r>
      <w:r w:rsidR="00FA25E0" w:rsidRPr="00DA51B6">
        <w:t>в</w:t>
      </w:r>
      <w:r w:rsidR="00FA25E0" w:rsidRPr="00DA51B6">
        <w:t xml:space="preserve">ників </w:t>
      </w:r>
      <w:r w:rsidR="00FA25E0">
        <w:t>по</w:t>
      </w:r>
      <w:r w:rsidR="000B5BC7" w:rsidRPr="00DA51B6">
        <w:t xml:space="preserve"> </w:t>
      </w:r>
      <w:r w:rsidR="00FA25E0">
        <w:t>20,1 тис. осіб</w:t>
      </w:r>
      <w:r w:rsidR="000B5BC7" w:rsidRPr="002C2C90">
        <w:rPr>
          <w:szCs w:val="28"/>
        </w:rPr>
        <w:t xml:space="preserve">. </w:t>
      </w:r>
    </w:p>
    <w:p w:rsidR="007C2060" w:rsidRDefault="007C2060" w:rsidP="007C2060">
      <w:pPr>
        <w:pStyle w:val="Normal"/>
        <w:jc w:val="center"/>
        <w:rPr>
          <w:b/>
          <w:szCs w:val="28"/>
          <w:lang w:val="uk-UA"/>
        </w:rPr>
      </w:pPr>
    </w:p>
    <w:p w:rsidR="007C2060" w:rsidRPr="00BA7E1B" w:rsidRDefault="007C2060" w:rsidP="007C2060">
      <w:pPr>
        <w:pStyle w:val="Normal"/>
        <w:jc w:val="center"/>
        <w:rPr>
          <w:b/>
          <w:szCs w:val="28"/>
          <w:lang w:val="uk-UA"/>
        </w:rPr>
      </w:pPr>
      <w:r w:rsidRPr="00BA7E1B">
        <w:rPr>
          <w:b/>
          <w:szCs w:val="28"/>
          <w:lang w:val="uk-UA"/>
        </w:rPr>
        <w:t>Кількість працівників наукових організацій за категоріями персоналу</w:t>
      </w:r>
    </w:p>
    <w:p w:rsidR="007C2060" w:rsidRPr="00651470" w:rsidRDefault="007C2060" w:rsidP="007C2060">
      <w:pPr>
        <w:pStyle w:val="Normal"/>
        <w:jc w:val="center"/>
        <w:rPr>
          <w:b/>
          <w:szCs w:val="28"/>
          <w:lang w:val="uk-UA"/>
        </w:rPr>
      </w:pPr>
    </w:p>
    <w:tbl>
      <w:tblPr>
        <w:tblW w:w="5000" w:type="pct"/>
        <w:jc w:val="center"/>
        <w:tblBorders>
          <w:top w:val="single" w:sz="12" w:space="0" w:color="000000"/>
          <w:bottom w:val="single" w:sz="12" w:space="0" w:color="000000"/>
        </w:tblBorders>
        <w:tblLook w:val="00A0" w:firstRow="1" w:lastRow="0" w:firstColumn="1" w:lastColumn="0" w:noHBand="0" w:noVBand="0"/>
      </w:tblPr>
      <w:tblGrid>
        <w:gridCol w:w="3024"/>
        <w:gridCol w:w="1656"/>
        <w:gridCol w:w="1567"/>
        <w:gridCol w:w="1829"/>
        <w:gridCol w:w="1563"/>
      </w:tblGrid>
      <w:tr w:rsidR="007C2060" w:rsidRPr="00BA7E1B" w:rsidTr="002F26A4">
        <w:trPr>
          <w:trHeight w:val="20"/>
          <w:jc w:val="center"/>
        </w:trPr>
        <w:tc>
          <w:tcPr>
            <w:tcW w:w="15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60" w:rsidRPr="00BA7E1B" w:rsidRDefault="007C2060" w:rsidP="00B44A3C">
            <w:pPr>
              <w:pStyle w:val="2"/>
              <w:spacing w:before="0" w:after="0"/>
              <w:rPr>
                <w:b w:val="0"/>
                <w:sz w:val="24"/>
                <w:szCs w:val="24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060" w:rsidRPr="00BA7E1B" w:rsidRDefault="007C2060" w:rsidP="00B44A3C">
            <w:pPr>
              <w:jc w:val="center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Кількість працівників, осіб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060" w:rsidRPr="00BA7E1B" w:rsidRDefault="007C2060" w:rsidP="00B44A3C">
            <w:pPr>
              <w:jc w:val="center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 xml:space="preserve">У % до </w:t>
            </w:r>
          </w:p>
          <w:p w:rsidR="007C2060" w:rsidRPr="00BA7E1B" w:rsidRDefault="007C2060" w:rsidP="00B44A3C">
            <w:pPr>
              <w:jc w:val="center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загальної кількості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060" w:rsidRDefault="007C2060" w:rsidP="00B44A3C">
            <w:pPr>
              <w:jc w:val="center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 xml:space="preserve">Із загальної кількості </w:t>
            </w:r>
          </w:p>
          <w:p w:rsidR="007C2060" w:rsidRPr="00BA7E1B" w:rsidRDefault="007C2060" w:rsidP="00B44A3C">
            <w:pPr>
              <w:jc w:val="center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працівників – жінки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C2060" w:rsidRPr="00BA7E1B" w:rsidRDefault="007C2060" w:rsidP="00B44A3C">
            <w:pPr>
              <w:jc w:val="center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 xml:space="preserve">У % до </w:t>
            </w:r>
          </w:p>
          <w:p w:rsidR="007C2060" w:rsidRPr="00BA7E1B" w:rsidRDefault="007C2060" w:rsidP="00B44A3C">
            <w:pPr>
              <w:jc w:val="center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загальної кількості жінок</w:t>
            </w:r>
          </w:p>
        </w:tc>
      </w:tr>
      <w:tr w:rsidR="007C2060" w:rsidRPr="00BA7E1B" w:rsidTr="002F26A4">
        <w:trPr>
          <w:trHeight w:val="20"/>
          <w:jc w:val="center"/>
        </w:trPr>
        <w:tc>
          <w:tcPr>
            <w:tcW w:w="1568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7C2060" w:rsidRPr="00BA7E1B" w:rsidRDefault="007C2060" w:rsidP="00B44A3C">
            <w:pPr>
              <w:pStyle w:val="2"/>
              <w:spacing w:before="40" w:after="4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BA7E1B">
              <w:rPr>
                <w:rFonts w:ascii="Times New Roman" w:hAnsi="Times New Roman"/>
                <w:i w:val="0"/>
                <w:sz w:val="24"/>
                <w:szCs w:val="24"/>
              </w:rPr>
              <w:t>Усього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2060" w:rsidRPr="00BA7E1B" w:rsidRDefault="007C2060" w:rsidP="002F26A4">
            <w:pPr>
              <w:spacing w:before="40" w:after="40"/>
              <w:ind w:right="284"/>
              <w:jc w:val="right"/>
              <w:rPr>
                <w:b/>
                <w:sz w:val="24"/>
                <w:szCs w:val="24"/>
              </w:rPr>
            </w:pPr>
            <w:r w:rsidRPr="00BA7E1B">
              <w:rPr>
                <w:b/>
                <w:sz w:val="24"/>
                <w:szCs w:val="24"/>
              </w:rPr>
              <w:t>109636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C2060" w:rsidRPr="00BA7E1B" w:rsidRDefault="007C2060" w:rsidP="002F26A4">
            <w:pPr>
              <w:spacing w:before="40" w:after="40"/>
              <w:ind w:right="284"/>
              <w:jc w:val="right"/>
              <w:rPr>
                <w:b/>
                <w:sz w:val="24"/>
                <w:szCs w:val="24"/>
              </w:rPr>
            </w:pPr>
            <w:r w:rsidRPr="00BA7E1B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2060" w:rsidRPr="00BA7E1B" w:rsidRDefault="007C2060" w:rsidP="002F26A4">
            <w:pPr>
              <w:spacing w:before="40" w:after="40"/>
              <w:ind w:right="284"/>
              <w:jc w:val="right"/>
              <w:rPr>
                <w:b/>
                <w:sz w:val="24"/>
                <w:szCs w:val="24"/>
              </w:rPr>
            </w:pPr>
            <w:r w:rsidRPr="00BA7E1B">
              <w:rPr>
                <w:b/>
                <w:sz w:val="24"/>
                <w:szCs w:val="24"/>
              </w:rPr>
              <w:t>53516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2060" w:rsidRPr="00BA7E1B" w:rsidRDefault="007C2060" w:rsidP="002F26A4">
            <w:pPr>
              <w:spacing w:before="40" w:after="40"/>
              <w:ind w:right="284"/>
              <w:jc w:val="right"/>
              <w:rPr>
                <w:b/>
                <w:sz w:val="24"/>
                <w:szCs w:val="24"/>
              </w:rPr>
            </w:pPr>
            <w:r w:rsidRPr="00BA7E1B">
              <w:rPr>
                <w:b/>
                <w:sz w:val="24"/>
                <w:szCs w:val="24"/>
              </w:rPr>
              <w:t>100,0</w:t>
            </w:r>
          </w:p>
        </w:tc>
      </w:tr>
      <w:tr w:rsidR="007C2060" w:rsidRPr="00BA7E1B" w:rsidTr="002F26A4">
        <w:trPr>
          <w:trHeight w:val="20"/>
          <w:jc w:val="center"/>
        </w:trPr>
        <w:tc>
          <w:tcPr>
            <w:tcW w:w="1568" w:type="pct"/>
            <w:tcBorders>
              <w:right w:val="nil"/>
            </w:tcBorders>
            <w:shd w:val="clear" w:color="auto" w:fill="auto"/>
          </w:tcPr>
          <w:p w:rsidR="007C2060" w:rsidRPr="00BA7E1B" w:rsidRDefault="007C2060" w:rsidP="00B44A3C">
            <w:pPr>
              <w:pStyle w:val="Normal"/>
              <w:rPr>
                <w:snapToGrid/>
                <w:sz w:val="24"/>
                <w:szCs w:val="24"/>
                <w:lang w:val="uk-UA"/>
              </w:rPr>
            </w:pPr>
            <w:r w:rsidRPr="00BA7E1B">
              <w:rPr>
                <w:snapToGrid/>
                <w:sz w:val="24"/>
                <w:szCs w:val="24"/>
                <w:lang w:val="uk-UA"/>
              </w:rPr>
              <w:t>дослідники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2060" w:rsidRPr="00BA7E1B" w:rsidRDefault="007C2060" w:rsidP="002F26A4">
            <w:pPr>
              <w:tabs>
                <w:tab w:val="left" w:pos="1051"/>
              </w:tabs>
              <w:ind w:right="284"/>
              <w:jc w:val="right"/>
              <w:rPr>
                <w:snapToGrid w:val="0"/>
                <w:sz w:val="24"/>
                <w:szCs w:val="24"/>
              </w:rPr>
            </w:pPr>
            <w:r w:rsidRPr="00BA7E1B">
              <w:rPr>
                <w:snapToGrid w:val="0"/>
                <w:sz w:val="24"/>
                <w:szCs w:val="24"/>
              </w:rPr>
              <w:t>58695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53,5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26890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50,2</w:t>
            </w:r>
          </w:p>
        </w:tc>
      </w:tr>
      <w:tr w:rsidR="007C2060" w:rsidRPr="00BA7E1B" w:rsidTr="002F26A4">
        <w:trPr>
          <w:trHeight w:val="20"/>
          <w:jc w:val="center"/>
        </w:trPr>
        <w:tc>
          <w:tcPr>
            <w:tcW w:w="1568" w:type="pct"/>
            <w:tcBorders>
              <w:right w:val="nil"/>
            </w:tcBorders>
            <w:shd w:val="clear" w:color="auto" w:fill="auto"/>
          </w:tcPr>
          <w:p w:rsidR="007C2060" w:rsidRPr="00BA7E1B" w:rsidRDefault="007C2060" w:rsidP="00B44A3C">
            <w:pPr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техніки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2060" w:rsidRPr="00BA7E1B" w:rsidRDefault="007C2060" w:rsidP="002F26A4">
            <w:pPr>
              <w:ind w:right="284"/>
              <w:jc w:val="right"/>
              <w:rPr>
                <w:snapToGrid w:val="0"/>
                <w:sz w:val="24"/>
                <w:szCs w:val="24"/>
              </w:rPr>
            </w:pPr>
            <w:r w:rsidRPr="00BA7E1B">
              <w:rPr>
                <w:snapToGrid w:val="0"/>
                <w:sz w:val="24"/>
                <w:szCs w:val="24"/>
              </w:rPr>
              <w:t>10709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9,8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</w:tcPr>
          <w:p w:rsidR="007C2060" w:rsidRPr="00E83C4F" w:rsidRDefault="007C2060" w:rsidP="002F26A4">
            <w:pPr>
              <w:ind w:right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83C4F"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</w:tcPr>
          <w:p w:rsidR="007C2060" w:rsidRPr="00E83C4F" w:rsidRDefault="007C2060" w:rsidP="002F26A4">
            <w:pPr>
              <w:ind w:right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83C4F">
              <w:rPr>
                <w:rFonts w:ascii="Arial" w:hAnsi="Arial" w:cs="Arial"/>
                <w:sz w:val="22"/>
                <w:szCs w:val="22"/>
              </w:rPr>
              <w:t>х</w:t>
            </w:r>
          </w:p>
        </w:tc>
      </w:tr>
      <w:tr w:rsidR="007C2060" w:rsidRPr="00BA7E1B" w:rsidTr="002F26A4">
        <w:trPr>
          <w:trHeight w:val="20"/>
          <w:jc w:val="center"/>
        </w:trPr>
        <w:tc>
          <w:tcPr>
            <w:tcW w:w="1568" w:type="pct"/>
            <w:tcBorders>
              <w:right w:val="nil"/>
            </w:tcBorders>
            <w:shd w:val="clear" w:color="auto" w:fill="auto"/>
          </w:tcPr>
          <w:p w:rsidR="007C2060" w:rsidRPr="00BA7E1B" w:rsidRDefault="007C2060" w:rsidP="00B44A3C">
            <w:pPr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допоміжний перс</w:t>
            </w:r>
            <w:r w:rsidRPr="00BA7E1B">
              <w:rPr>
                <w:sz w:val="24"/>
                <w:szCs w:val="24"/>
              </w:rPr>
              <w:t>о</w:t>
            </w:r>
            <w:r w:rsidRPr="00BA7E1B">
              <w:rPr>
                <w:sz w:val="24"/>
                <w:szCs w:val="24"/>
              </w:rPr>
              <w:t>нал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2060" w:rsidRPr="00BA7E1B" w:rsidRDefault="007C2060" w:rsidP="002F26A4">
            <w:pPr>
              <w:ind w:right="284"/>
              <w:jc w:val="right"/>
              <w:rPr>
                <w:snapToGrid w:val="0"/>
                <w:sz w:val="24"/>
                <w:szCs w:val="24"/>
              </w:rPr>
            </w:pPr>
            <w:r w:rsidRPr="00BA7E1B">
              <w:rPr>
                <w:snapToGrid w:val="0"/>
                <w:sz w:val="24"/>
                <w:szCs w:val="24"/>
              </w:rPr>
              <w:t>20128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18,4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</w:tcPr>
          <w:p w:rsidR="007C2060" w:rsidRPr="00E83C4F" w:rsidRDefault="007C2060" w:rsidP="002F26A4">
            <w:pPr>
              <w:ind w:right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83C4F"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</w:tcPr>
          <w:p w:rsidR="007C2060" w:rsidRPr="00E83C4F" w:rsidRDefault="007C2060" w:rsidP="002F26A4">
            <w:pPr>
              <w:ind w:right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83C4F">
              <w:rPr>
                <w:rFonts w:ascii="Arial" w:hAnsi="Arial" w:cs="Arial"/>
                <w:sz w:val="22"/>
                <w:szCs w:val="22"/>
              </w:rPr>
              <w:t>х</w:t>
            </w:r>
          </w:p>
        </w:tc>
      </w:tr>
      <w:tr w:rsidR="007C2060" w:rsidRPr="00BA7E1B" w:rsidTr="002F26A4">
        <w:trPr>
          <w:trHeight w:val="20"/>
          <w:jc w:val="center"/>
        </w:trPr>
        <w:tc>
          <w:tcPr>
            <w:tcW w:w="1568" w:type="pct"/>
            <w:tcBorders>
              <w:right w:val="nil"/>
            </w:tcBorders>
            <w:shd w:val="clear" w:color="auto" w:fill="auto"/>
          </w:tcPr>
          <w:p w:rsidR="007C2060" w:rsidRPr="00BA7E1B" w:rsidRDefault="007C2060" w:rsidP="00B44A3C">
            <w:pPr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інші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20104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18,3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</w:tcPr>
          <w:p w:rsidR="007C2060" w:rsidRPr="00E83C4F" w:rsidRDefault="007C2060" w:rsidP="002F26A4">
            <w:pPr>
              <w:ind w:right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83C4F"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</w:tcPr>
          <w:p w:rsidR="007C2060" w:rsidRPr="00E83C4F" w:rsidRDefault="007C2060" w:rsidP="002F26A4">
            <w:pPr>
              <w:ind w:right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83C4F">
              <w:rPr>
                <w:rFonts w:ascii="Arial" w:hAnsi="Arial" w:cs="Arial"/>
                <w:sz w:val="22"/>
                <w:szCs w:val="22"/>
              </w:rPr>
              <w:t>х</w:t>
            </w:r>
          </w:p>
        </w:tc>
      </w:tr>
      <w:tr w:rsidR="007C2060" w:rsidRPr="00BA7E1B" w:rsidTr="002F26A4">
        <w:trPr>
          <w:trHeight w:val="20"/>
          <w:jc w:val="center"/>
        </w:trPr>
        <w:tc>
          <w:tcPr>
            <w:tcW w:w="1568" w:type="pct"/>
            <w:tcBorders>
              <w:right w:val="nil"/>
            </w:tcBorders>
            <w:shd w:val="clear" w:color="auto" w:fill="auto"/>
          </w:tcPr>
          <w:p w:rsidR="007C2060" w:rsidRPr="00BA7E1B" w:rsidRDefault="007C2060" w:rsidP="00B44A3C">
            <w:pPr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Мають науковий ступінь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</w:p>
        </w:tc>
      </w:tr>
      <w:tr w:rsidR="007C2060" w:rsidRPr="00BA7E1B" w:rsidTr="002F26A4">
        <w:trPr>
          <w:trHeight w:val="20"/>
          <w:jc w:val="center"/>
        </w:trPr>
        <w:tc>
          <w:tcPr>
            <w:tcW w:w="1568" w:type="pct"/>
            <w:tcBorders>
              <w:bottom w:val="nil"/>
              <w:right w:val="nil"/>
            </w:tcBorders>
            <w:shd w:val="clear" w:color="auto" w:fill="auto"/>
          </w:tcPr>
          <w:p w:rsidR="007C2060" w:rsidRPr="00BA7E1B" w:rsidRDefault="007C2060" w:rsidP="00B44A3C">
            <w:pPr>
              <w:rPr>
                <w:i/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доктора наук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4260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3,9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1068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2,0</w:t>
            </w:r>
          </w:p>
        </w:tc>
      </w:tr>
      <w:tr w:rsidR="007C2060" w:rsidRPr="00BA7E1B" w:rsidTr="002F26A4">
        <w:trPr>
          <w:trHeight w:val="20"/>
          <w:jc w:val="center"/>
        </w:trPr>
        <w:tc>
          <w:tcPr>
            <w:tcW w:w="1568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7C2060" w:rsidRPr="00BA7E1B" w:rsidRDefault="007C2060" w:rsidP="00B44A3C">
            <w:pPr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кандидата н</w:t>
            </w:r>
            <w:r w:rsidRPr="00BA7E1B">
              <w:rPr>
                <w:sz w:val="24"/>
                <w:szCs w:val="24"/>
              </w:rPr>
              <w:t>а</w:t>
            </w:r>
            <w:r w:rsidRPr="00BA7E1B">
              <w:rPr>
                <w:sz w:val="24"/>
                <w:szCs w:val="24"/>
              </w:rPr>
              <w:t>ук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14804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13,5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6561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060" w:rsidRPr="00BA7E1B" w:rsidRDefault="007C2060" w:rsidP="002F26A4">
            <w:pPr>
              <w:ind w:right="284"/>
              <w:jc w:val="right"/>
              <w:rPr>
                <w:sz w:val="24"/>
                <w:szCs w:val="24"/>
              </w:rPr>
            </w:pPr>
            <w:r w:rsidRPr="00BA7E1B">
              <w:rPr>
                <w:sz w:val="24"/>
                <w:szCs w:val="24"/>
              </w:rPr>
              <w:t>12,3</w:t>
            </w:r>
          </w:p>
        </w:tc>
      </w:tr>
    </w:tbl>
    <w:p w:rsidR="007C2060" w:rsidRDefault="007C2060" w:rsidP="007C2060">
      <w:pPr>
        <w:widowControl w:val="0"/>
        <w:jc w:val="center"/>
        <w:rPr>
          <w:b/>
          <w:sz w:val="28"/>
          <w:szCs w:val="28"/>
        </w:rPr>
      </w:pPr>
    </w:p>
    <w:p w:rsidR="000B5BC7" w:rsidRPr="00317D27" w:rsidRDefault="007F01C8" w:rsidP="000B5BC7">
      <w:pPr>
        <w:pStyle w:val="a4"/>
        <w:widowControl w:val="0"/>
        <w:ind w:firstLine="748"/>
        <w:rPr>
          <w:szCs w:val="28"/>
        </w:rPr>
      </w:pPr>
      <w:r w:rsidRPr="00955B21">
        <w:t>У 201</w:t>
      </w:r>
      <w:r w:rsidR="00991972" w:rsidRPr="00955B21">
        <w:rPr>
          <w:lang w:val="ru-RU"/>
        </w:rPr>
        <w:t>4</w:t>
      </w:r>
      <w:r w:rsidRPr="00955B21">
        <w:t xml:space="preserve">р. </w:t>
      </w:r>
      <w:r w:rsidRPr="00955B21">
        <w:rPr>
          <w:szCs w:val="28"/>
        </w:rPr>
        <w:t>ч</w:t>
      </w:r>
      <w:r w:rsidR="00DD5CE3" w:rsidRPr="00955B21">
        <w:rPr>
          <w:szCs w:val="28"/>
        </w:rPr>
        <w:t xml:space="preserve">астка виконавців наукових досліджень і розробок </w:t>
      </w:r>
      <w:r w:rsidR="00DD5CE3" w:rsidRPr="00955B21">
        <w:t>(дослі</w:t>
      </w:r>
      <w:r w:rsidR="00DD5CE3" w:rsidRPr="00955B21">
        <w:t>д</w:t>
      </w:r>
      <w:r w:rsidR="00DD5CE3" w:rsidRPr="00955B21">
        <w:t xml:space="preserve">ників, техніків і допоміжного персоналу) </w:t>
      </w:r>
      <w:r w:rsidR="0010523E" w:rsidRPr="00955B21">
        <w:t>у</w:t>
      </w:r>
      <w:r w:rsidR="00DD5CE3" w:rsidRPr="00955B21">
        <w:t xml:space="preserve"> загальній кількості зайнят</w:t>
      </w:r>
      <w:r w:rsidR="00DD5CE3" w:rsidRPr="00955B21">
        <w:t>о</w:t>
      </w:r>
      <w:r w:rsidR="00DD5CE3" w:rsidRPr="00955B21">
        <w:t xml:space="preserve">го населення </w:t>
      </w:r>
      <w:r w:rsidR="00DD5CE3" w:rsidRPr="00955B21">
        <w:lastRenderedPageBreak/>
        <w:t>становила 0,</w:t>
      </w:r>
      <w:r w:rsidR="00597CFF" w:rsidRPr="00955B21">
        <w:t>50</w:t>
      </w:r>
      <w:r w:rsidR="0010523E" w:rsidRPr="00955B21">
        <w:t>%</w:t>
      </w:r>
      <w:r w:rsidR="00597CFF" w:rsidRPr="00955B21">
        <w:t>,</w:t>
      </w:r>
      <w:r w:rsidR="00DD5CE3" w:rsidRPr="00955B21">
        <w:t xml:space="preserve"> </w:t>
      </w:r>
      <w:r w:rsidR="008A261E" w:rsidRPr="00955B21">
        <w:t>у т</w:t>
      </w:r>
      <w:r w:rsidR="00597CFF" w:rsidRPr="00955B21">
        <w:t xml:space="preserve">ому </w:t>
      </w:r>
      <w:r w:rsidR="008A261E" w:rsidRPr="00955B21">
        <w:t>ч</w:t>
      </w:r>
      <w:r w:rsidR="00597CFF" w:rsidRPr="00955B21">
        <w:t>ислі</w:t>
      </w:r>
      <w:r w:rsidR="008A261E" w:rsidRPr="00955B21">
        <w:t xml:space="preserve"> д</w:t>
      </w:r>
      <w:r w:rsidR="008A261E" w:rsidRPr="00955B21">
        <w:t>о</w:t>
      </w:r>
      <w:r w:rsidR="008A261E" w:rsidRPr="00955B21">
        <w:t>слідників – 0,3</w:t>
      </w:r>
      <w:r w:rsidR="009D4E0F" w:rsidRPr="00955B21">
        <w:t>2</w:t>
      </w:r>
      <w:r w:rsidR="0010523E" w:rsidRPr="00955B21">
        <w:t>%</w:t>
      </w:r>
      <w:r w:rsidR="00325994" w:rsidRPr="00955B21">
        <w:t xml:space="preserve">. </w:t>
      </w:r>
      <w:r w:rsidRPr="00955B21">
        <w:t xml:space="preserve">За даними </w:t>
      </w:r>
      <w:r w:rsidR="00D94004" w:rsidRPr="00955B21">
        <w:t>Євростату</w:t>
      </w:r>
      <w:r w:rsidR="00224A8B">
        <w:t>,</w:t>
      </w:r>
      <w:r w:rsidR="009E39E5">
        <w:t xml:space="preserve"> </w:t>
      </w:r>
      <w:r w:rsidR="00955B21">
        <w:t>н</w:t>
      </w:r>
      <w:r w:rsidR="00325994" w:rsidRPr="00955B21">
        <w:t>айв</w:t>
      </w:r>
      <w:r w:rsidR="00325994" w:rsidRPr="00955B21">
        <w:t>и</w:t>
      </w:r>
      <w:r w:rsidR="00325994" w:rsidRPr="00955B21">
        <w:t>щ</w:t>
      </w:r>
      <w:r w:rsidR="008A261E" w:rsidRPr="00955B21">
        <w:t xml:space="preserve">ою </w:t>
      </w:r>
      <w:r w:rsidR="00C86B3A" w:rsidRPr="00955B21">
        <w:t xml:space="preserve">ця </w:t>
      </w:r>
      <w:r w:rsidR="008A261E" w:rsidRPr="00955B21">
        <w:t xml:space="preserve">частка </w:t>
      </w:r>
      <w:r w:rsidR="00325994" w:rsidRPr="00955B21">
        <w:t>бу</w:t>
      </w:r>
      <w:r w:rsidR="008A261E" w:rsidRPr="00955B21">
        <w:t>ла</w:t>
      </w:r>
      <w:r w:rsidR="00325994" w:rsidRPr="00955B21">
        <w:t xml:space="preserve"> у Фінляндії </w:t>
      </w:r>
      <w:r w:rsidR="00C86B3A" w:rsidRPr="00955B21">
        <w:t>(</w:t>
      </w:r>
      <w:r w:rsidR="00325994" w:rsidRPr="00955B21">
        <w:t>3,2</w:t>
      </w:r>
      <w:r w:rsidR="000F1818" w:rsidRPr="00955B21">
        <w:t>0</w:t>
      </w:r>
      <w:r w:rsidR="0010523E" w:rsidRPr="00955B21">
        <w:t>%</w:t>
      </w:r>
      <w:r w:rsidR="00325994" w:rsidRPr="00955B21">
        <w:t xml:space="preserve"> </w:t>
      </w:r>
      <w:r w:rsidR="00C86B3A" w:rsidRPr="00955B21">
        <w:t>і</w:t>
      </w:r>
      <w:r w:rsidR="008A261E" w:rsidRPr="00955B21">
        <w:t xml:space="preserve"> 2,</w:t>
      </w:r>
      <w:r w:rsidR="000F1818" w:rsidRPr="00955B21">
        <w:t>28</w:t>
      </w:r>
      <w:r w:rsidR="0010523E" w:rsidRPr="00955B21">
        <w:t>%</w:t>
      </w:r>
      <w:r w:rsidR="00C86B3A" w:rsidRPr="00955B21">
        <w:t>),</w:t>
      </w:r>
      <w:r w:rsidR="00325994" w:rsidRPr="00955B21">
        <w:t xml:space="preserve"> Данії </w:t>
      </w:r>
      <w:r w:rsidR="00C86B3A" w:rsidRPr="00955B21">
        <w:t>(</w:t>
      </w:r>
      <w:r w:rsidR="00325994" w:rsidRPr="00955B21">
        <w:t>3,</w:t>
      </w:r>
      <w:r w:rsidR="000F1818" w:rsidRPr="00955B21">
        <w:t>20</w:t>
      </w:r>
      <w:r w:rsidR="0010523E" w:rsidRPr="00955B21">
        <w:t>%</w:t>
      </w:r>
      <w:r w:rsidR="008A261E" w:rsidRPr="00955B21">
        <w:t xml:space="preserve"> </w:t>
      </w:r>
      <w:r w:rsidR="00C86B3A" w:rsidRPr="00955B21">
        <w:t xml:space="preserve">і </w:t>
      </w:r>
      <w:r w:rsidR="008A261E" w:rsidRPr="00955B21">
        <w:t>2,</w:t>
      </w:r>
      <w:r w:rsidR="003156E1" w:rsidRPr="00955B21">
        <w:t>1</w:t>
      </w:r>
      <w:r w:rsidR="000F1818" w:rsidRPr="00955B21">
        <w:t>8</w:t>
      </w:r>
      <w:r w:rsidR="0010523E" w:rsidRPr="00955B21">
        <w:t>%</w:t>
      </w:r>
      <w:r w:rsidR="008A261E" w:rsidRPr="00955B21">
        <w:t>)</w:t>
      </w:r>
      <w:r w:rsidR="00B87296" w:rsidRPr="00955B21">
        <w:t>,</w:t>
      </w:r>
      <w:r w:rsidR="00325994" w:rsidRPr="00955B21">
        <w:t xml:space="preserve"> </w:t>
      </w:r>
      <w:r w:rsidR="000F1818" w:rsidRPr="00955B21">
        <w:t xml:space="preserve">Швейцарії (2,66% і 1,37%), Норвегії (2,56% і 1,81%) </w:t>
      </w:r>
      <w:r w:rsidR="000F1818" w:rsidRPr="00317D27">
        <w:t>та Словенії (2,27% і 1,34%)</w:t>
      </w:r>
      <w:r w:rsidR="00800E4A" w:rsidRPr="00317D27">
        <w:t>;</w:t>
      </w:r>
      <w:r w:rsidR="00325994" w:rsidRPr="00317D27">
        <w:t xml:space="preserve"> найнижч</w:t>
      </w:r>
      <w:r w:rsidR="00517E18" w:rsidRPr="00317D27">
        <w:t>ою</w:t>
      </w:r>
      <w:r w:rsidR="00325994" w:rsidRPr="00317D27">
        <w:t xml:space="preserve"> –</w:t>
      </w:r>
      <w:r w:rsidR="009B6C18" w:rsidRPr="00317D27">
        <w:t xml:space="preserve"> у </w:t>
      </w:r>
      <w:r w:rsidR="00325994" w:rsidRPr="00317D27">
        <w:t>Рум</w:t>
      </w:r>
      <w:r w:rsidR="00325994" w:rsidRPr="00317D27">
        <w:t>у</w:t>
      </w:r>
      <w:r w:rsidR="00325994" w:rsidRPr="00317D27">
        <w:t>нії</w:t>
      </w:r>
      <w:r w:rsidR="00B87296" w:rsidRPr="00317D27">
        <w:t> </w:t>
      </w:r>
      <w:r w:rsidR="007B60C3" w:rsidRPr="00317D27">
        <w:t>(0,4</w:t>
      </w:r>
      <w:r w:rsidR="003156E1" w:rsidRPr="00317D27">
        <w:t>6</w:t>
      </w:r>
      <w:r w:rsidR="0010523E" w:rsidRPr="00317D27">
        <w:t>%</w:t>
      </w:r>
      <w:r w:rsidR="00517E18" w:rsidRPr="00317D27">
        <w:t xml:space="preserve"> та 0,</w:t>
      </w:r>
      <w:r w:rsidR="0037764D" w:rsidRPr="00317D27">
        <w:t>30</w:t>
      </w:r>
      <w:r w:rsidR="0010523E" w:rsidRPr="00317D27">
        <w:t>%</w:t>
      </w:r>
      <w:r w:rsidR="007B60C3" w:rsidRPr="00317D27">
        <w:t>)</w:t>
      </w:r>
      <w:r w:rsidR="00325994" w:rsidRPr="00317D27">
        <w:t xml:space="preserve">, </w:t>
      </w:r>
      <w:r w:rsidR="0037764D" w:rsidRPr="00317D27">
        <w:t>Кіпр</w:t>
      </w:r>
      <w:r w:rsidR="001E18A5" w:rsidRPr="00317D27">
        <w:t>у</w:t>
      </w:r>
      <w:r w:rsidR="0037764D" w:rsidRPr="00317D27">
        <w:t xml:space="preserve"> (0,71% та 0,50%), Болгарії (0,74% та 0,52%) та </w:t>
      </w:r>
      <w:r w:rsidR="003156E1" w:rsidRPr="00317D27">
        <w:t>Т</w:t>
      </w:r>
      <w:r w:rsidR="003156E1" w:rsidRPr="00317D27">
        <w:t>у</w:t>
      </w:r>
      <w:r w:rsidR="003156E1" w:rsidRPr="00317D27">
        <w:t>р</w:t>
      </w:r>
      <w:r w:rsidR="00CB4FCB" w:rsidRPr="00317D27">
        <w:t>еччин</w:t>
      </w:r>
      <w:r w:rsidR="009E39E5">
        <w:t>і</w:t>
      </w:r>
      <w:r w:rsidR="003156E1" w:rsidRPr="00317D27">
        <w:t xml:space="preserve"> (0,</w:t>
      </w:r>
      <w:r w:rsidR="0037764D" w:rsidRPr="00317D27">
        <w:t>74</w:t>
      </w:r>
      <w:r w:rsidR="00C273B5" w:rsidRPr="00317D27">
        <w:t>%</w:t>
      </w:r>
      <w:r w:rsidR="003156E1" w:rsidRPr="00317D27">
        <w:t xml:space="preserve"> та </w:t>
      </w:r>
      <w:r w:rsidR="00C63532" w:rsidRPr="00317D27">
        <w:t>0,</w:t>
      </w:r>
      <w:r w:rsidR="0037764D" w:rsidRPr="00317D27">
        <w:t>63</w:t>
      </w:r>
      <w:r w:rsidR="00C63532" w:rsidRPr="00317D27">
        <w:t>%</w:t>
      </w:r>
      <w:r w:rsidR="0037764D" w:rsidRPr="00317D27">
        <w:t>)</w:t>
      </w:r>
      <w:r w:rsidR="007B60C3" w:rsidRPr="00317D27">
        <w:t>.</w:t>
      </w:r>
    </w:p>
    <w:p w:rsidR="004A48B5" w:rsidRPr="004A48B5" w:rsidRDefault="004A48B5" w:rsidP="004A48B5">
      <w:pPr>
        <w:pStyle w:val="a4"/>
        <w:widowControl w:val="0"/>
        <w:ind w:firstLine="709"/>
      </w:pPr>
      <w:r w:rsidRPr="004A48B5">
        <w:t>Питома вага докторів та кандидатів наук серед виконавців наукових досліджень і розробок становила 21,3%. Частка дослідників з науковими ступенями становила 32,3%.</w:t>
      </w:r>
    </w:p>
    <w:p w:rsidR="00A23D79" w:rsidRPr="00A23D79" w:rsidRDefault="00A23D79" w:rsidP="00E02EE4">
      <w:pPr>
        <w:pStyle w:val="a4"/>
        <w:widowControl w:val="0"/>
        <w:ind w:firstLine="709"/>
        <w:rPr>
          <w:szCs w:val="28"/>
        </w:rPr>
      </w:pPr>
      <w:r w:rsidRPr="00A23D79">
        <w:rPr>
          <w:szCs w:val="28"/>
        </w:rPr>
        <w:t>У 201</w:t>
      </w:r>
      <w:r w:rsidR="00A40762">
        <w:rPr>
          <w:szCs w:val="28"/>
        </w:rPr>
        <w:t>4</w:t>
      </w:r>
      <w:r w:rsidRPr="00A23D79">
        <w:rPr>
          <w:szCs w:val="28"/>
        </w:rPr>
        <w:t xml:space="preserve">р. майже половину дослідників (45,8%) становили жінки. </w:t>
      </w:r>
      <w:r w:rsidR="004A48B5">
        <w:rPr>
          <w:szCs w:val="28"/>
        </w:rPr>
        <w:t>Ч</w:t>
      </w:r>
      <w:r w:rsidRPr="00A23D79">
        <w:rPr>
          <w:szCs w:val="28"/>
        </w:rPr>
        <w:t>а</w:t>
      </w:r>
      <w:r w:rsidRPr="00A23D79">
        <w:rPr>
          <w:szCs w:val="28"/>
        </w:rPr>
        <w:t>стка докторів і кандидатів наук серед них ст</w:t>
      </w:r>
      <w:r w:rsidRPr="00A23D79">
        <w:rPr>
          <w:szCs w:val="28"/>
        </w:rPr>
        <w:t>а</w:t>
      </w:r>
      <w:r w:rsidRPr="00A23D79">
        <w:rPr>
          <w:szCs w:val="28"/>
        </w:rPr>
        <w:t>новила 2</w:t>
      </w:r>
      <w:r w:rsidR="009959FD">
        <w:rPr>
          <w:szCs w:val="28"/>
        </w:rPr>
        <w:t>8</w:t>
      </w:r>
      <w:r w:rsidRPr="00A23D79">
        <w:rPr>
          <w:szCs w:val="28"/>
        </w:rPr>
        <w:t>,</w:t>
      </w:r>
      <w:r w:rsidR="009959FD">
        <w:rPr>
          <w:szCs w:val="28"/>
        </w:rPr>
        <w:t>2</w:t>
      </w:r>
      <w:r w:rsidRPr="00A23D79">
        <w:rPr>
          <w:szCs w:val="28"/>
        </w:rPr>
        <w:t xml:space="preserve">%. </w:t>
      </w:r>
      <w:r w:rsidR="009959FD" w:rsidRPr="009959FD">
        <w:rPr>
          <w:szCs w:val="28"/>
        </w:rPr>
        <w:t xml:space="preserve">Вищою за середню </w:t>
      </w:r>
      <w:r w:rsidR="009E39E5">
        <w:rPr>
          <w:szCs w:val="28"/>
        </w:rPr>
        <w:t xml:space="preserve">в Україні </w:t>
      </w:r>
      <w:r w:rsidR="009959FD" w:rsidRPr="009959FD">
        <w:rPr>
          <w:szCs w:val="28"/>
        </w:rPr>
        <w:t>була питома вага жінок-дослідників у галузі психологічних наук (77,6%), педагогічних (73,3%), філ</w:t>
      </w:r>
      <w:r w:rsidR="009959FD" w:rsidRPr="009959FD">
        <w:rPr>
          <w:szCs w:val="28"/>
        </w:rPr>
        <w:t>о</w:t>
      </w:r>
      <w:r w:rsidR="009959FD" w:rsidRPr="009959FD">
        <w:rPr>
          <w:szCs w:val="28"/>
        </w:rPr>
        <w:t>логічних (72,6%), фармацевтичних (70,5%), мистецтвознавства (69,8%), і</w:t>
      </w:r>
      <w:r w:rsidR="009959FD" w:rsidRPr="009959FD">
        <w:rPr>
          <w:szCs w:val="28"/>
        </w:rPr>
        <w:t>с</w:t>
      </w:r>
      <w:r w:rsidR="009959FD" w:rsidRPr="009959FD">
        <w:rPr>
          <w:szCs w:val="28"/>
        </w:rPr>
        <w:t>торичних (68,4%), медичних наук (65,5%). Нижчою за середню – у галузі фізико-математичних наук (27,7%), технічних (37,0%), філософських (40,9%), національної безпеки (41,9%) та політичних наук (42,9%).</w:t>
      </w:r>
      <w:r w:rsidR="009959FD" w:rsidRPr="0069236D">
        <w:rPr>
          <w:sz w:val="26"/>
          <w:szCs w:val="26"/>
        </w:rPr>
        <w:t xml:space="preserve"> </w:t>
      </w:r>
    </w:p>
    <w:p w:rsidR="000B5BC7" w:rsidRDefault="00E73802" w:rsidP="00A5764C">
      <w:pPr>
        <w:pStyle w:val="a4"/>
        <w:widowControl w:val="0"/>
        <w:ind w:firstLine="748"/>
      </w:pPr>
      <w:r w:rsidRPr="00DD543A">
        <w:t>Понад</w:t>
      </w:r>
      <w:r w:rsidR="000B5BC7" w:rsidRPr="00DD543A">
        <w:t xml:space="preserve"> три чверті загально</w:t>
      </w:r>
      <w:r w:rsidR="00D147AB">
        <w:t>ї</w:t>
      </w:r>
      <w:r w:rsidR="000B5BC7" w:rsidRPr="00DD543A">
        <w:t xml:space="preserve"> </w:t>
      </w:r>
      <w:r w:rsidR="003156E1">
        <w:t>кількості</w:t>
      </w:r>
      <w:r w:rsidR="000B5BC7" w:rsidRPr="00DD543A">
        <w:t xml:space="preserve"> докторів і кандидатів наук, </w:t>
      </w:r>
      <w:r w:rsidR="00C86B3A" w:rsidRPr="00DD543A">
        <w:t xml:space="preserve">які </w:t>
      </w:r>
      <w:r w:rsidR="000B5BC7" w:rsidRPr="00DD543A">
        <w:t>викон</w:t>
      </w:r>
      <w:r w:rsidR="00C86B3A" w:rsidRPr="00DD543A">
        <w:t>ували</w:t>
      </w:r>
      <w:r w:rsidR="000B5BC7" w:rsidRPr="00DD543A">
        <w:t xml:space="preserve"> науков</w:t>
      </w:r>
      <w:r w:rsidR="00C86B3A" w:rsidRPr="00DD543A">
        <w:t>і</w:t>
      </w:r>
      <w:r w:rsidR="000B5BC7" w:rsidRPr="00DD543A">
        <w:t xml:space="preserve"> досліджен</w:t>
      </w:r>
      <w:r w:rsidR="00C86B3A" w:rsidRPr="00DD543A">
        <w:t>ня</w:t>
      </w:r>
      <w:r w:rsidR="000B5BC7" w:rsidRPr="00DD543A">
        <w:t xml:space="preserve"> і розроб</w:t>
      </w:r>
      <w:r w:rsidR="00C86B3A" w:rsidRPr="00DD543A">
        <w:t>ки</w:t>
      </w:r>
      <w:r w:rsidR="000B5BC7" w:rsidRPr="00DD543A">
        <w:t>, працювали в організаціях де</w:t>
      </w:r>
      <w:r w:rsidR="000B5BC7" w:rsidRPr="00DD543A">
        <w:t>р</w:t>
      </w:r>
      <w:r w:rsidR="000B5BC7" w:rsidRPr="00DD543A">
        <w:t xml:space="preserve">жавного сектору економіки, </w:t>
      </w:r>
      <w:r w:rsidR="00DD543A" w:rsidRPr="00DD543A">
        <w:t>7,</w:t>
      </w:r>
      <w:r w:rsidR="00C636B5">
        <w:t>1</w:t>
      </w:r>
      <w:r w:rsidR="0010523E" w:rsidRPr="00DD543A">
        <w:t>%</w:t>
      </w:r>
      <w:r w:rsidR="000B5BC7" w:rsidRPr="00DD543A">
        <w:t xml:space="preserve"> –</w:t>
      </w:r>
      <w:r w:rsidR="00AB7E4E">
        <w:t xml:space="preserve"> </w:t>
      </w:r>
      <w:r w:rsidR="000B5BC7" w:rsidRPr="00DD543A">
        <w:t>пі</w:t>
      </w:r>
      <w:r w:rsidR="000B5BC7" w:rsidRPr="00DD543A">
        <w:t>д</w:t>
      </w:r>
      <w:r w:rsidR="000B5BC7" w:rsidRPr="00DD543A">
        <w:t>приє</w:t>
      </w:r>
      <w:r w:rsidR="000B5BC7" w:rsidRPr="00DD543A">
        <w:t>м</w:t>
      </w:r>
      <w:r w:rsidR="000B5BC7" w:rsidRPr="00DD543A">
        <w:t xml:space="preserve">ницького сектору, </w:t>
      </w:r>
      <w:r w:rsidR="00DD543A" w:rsidRPr="00DD543A">
        <w:t>13,</w:t>
      </w:r>
      <w:r w:rsidR="00C636B5">
        <w:t>5</w:t>
      </w:r>
      <w:r w:rsidR="0010523E" w:rsidRPr="00DD543A">
        <w:t>%</w:t>
      </w:r>
      <w:r w:rsidR="000B5BC7" w:rsidRPr="00DD543A">
        <w:t xml:space="preserve"> –</w:t>
      </w:r>
      <w:r w:rsidR="00D5714A">
        <w:t xml:space="preserve"> </w:t>
      </w:r>
      <w:r w:rsidR="000B5BC7" w:rsidRPr="00DD543A">
        <w:t>вищої освіти.</w:t>
      </w:r>
    </w:p>
    <w:p w:rsidR="004E13CC" w:rsidRPr="00DD543A" w:rsidRDefault="004E13CC" w:rsidP="00A5764C">
      <w:pPr>
        <w:pStyle w:val="a4"/>
        <w:widowControl w:val="0"/>
        <w:ind w:firstLine="748"/>
      </w:pPr>
    </w:p>
    <w:p w:rsidR="000B5BC7" w:rsidRPr="004E13CC" w:rsidRDefault="004B4560" w:rsidP="004E13CC">
      <w:pPr>
        <w:widowControl w:val="0"/>
        <w:jc w:val="center"/>
        <w:rPr>
          <w:sz w:val="28"/>
          <w:szCs w:val="28"/>
        </w:rPr>
      </w:pPr>
      <w:r w:rsidRPr="004E13CC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align>center</wp:align>
            </wp:positionH>
            <wp:positionV relativeFrom="line">
              <wp:posOffset>323215</wp:posOffset>
            </wp:positionV>
            <wp:extent cx="5949950" cy="2080260"/>
            <wp:effectExtent l="0" t="2540" r="5715" b="0"/>
            <wp:wrapTopAndBottom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5BC7" w:rsidRPr="004E13CC">
        <w:rPr>
          <w:b/>
          <w:sz w:val="28"/>
          <w:szCs w:val="28"/>
        </w:rPr>
        <w:t xml:space="preserve">Розподіл </w:t>
      </w:r>
      <w:r w:rsidR="00D147AB" w:rsidRPr="004E13CC">
        <w:rPr>
          <w:b/>
          <w:sz w:val="28"/>
          <w:szCs w:val="28"/>
        </w:rPr>
        <w:t>кількості</w:t>
      </w:r>
      <w:r w:rsidR="000B5BC7" w:rsidRPr="004E13CC">
        <w:rPr>
          <w:b/>
          <w:sz w:val="28"/>
          <w:szCs w:val="28"/>
        </w:rPr>
        <w:t xml:space="preserve"> дослідників за статтю і віком,</w:t>
      </w:r>
      <w:r w:rsidR="000B5BC7" w:rsidRPr="004E13CC">
        <w:rPr>
          <w:sz w:val="28"/>
          <w:szCs w:val="28"/>
        </w:rPr>
        <w:t xml:space="preserve"> осіб</w:t>
      </w:r>
    </w:p>
    <w:p w:rsidR="00D951A1" w:rsidRDefault="00D951A1" w:rsidP="000B5BC7">
      <w:pPr>
        <w:widowControl w:val="0"/>
        <w:ind w:firstLine="709"/>
        <w:jc w:val="both"/>
        <w:rPr>
          <w:sz w:val="28"/>
          <w:szCs w:val="28"/>
        </w:rPr>
      </w:pPr>
    </w:p>
    <w:p w:rsidR="000B5BC7" w:rsidRPr="00DA51B6" w:rsidRDefault="000B5BC7" w:rsidP="000B5BC7">
      <w:pPr>
        <w:widowControl w:val="0"/>
        <w:ind w:firstLine="709"/>
        <w:jc w:val="both"/>
        <w:rPr>
          <w:sz w:val="28"/>
          <w:szCs w:val="28"/>
        </w:rPr>
      </w:pPr>
      <w:r w:rsidRPr="00DA51B6">
        <w:rPr>
          <w:sz w:val="28"/>
          <w:szCs w:val="28"/>
        </w:rPr>
        <w:t>У 201</w:t>
      </w:r>
      <w:r w:rsidR="00ED0D99">
        <w:rPr>
          <w:sz w:val="28"/>
          <w:szCs w:val="28"/>
          <w:lang w:val="en-US"/>
        </w:rPr>
        <w:t>4</w:t>
      </w:r>
      <w:r w:rsidRPr="00DA51B6">
        <w:rPr>
          <w:sz w:val="28"/>
          <w:szCs w:val="28"/>
        </w:rPr>
        <w:t xml:space="preserve">р. </w:t>
      </w:r>
      <w:r w:rsidR="00615596">
        <w:rPr>
          <w:sz w:val="28"/>
          <w:szCs w:val="28"/>
        </w:rPr>
        <w:t>кількість</w:t>
      </w:r>
      <w:r w:rsidRPr="00DA51B6">
        <w:rPr>
          <w:sz w:val="28"/>
          <w:szCs w:val="28"/>
        </w:rPr>
        <w:t xml:space="preserve"> </w:t>
      </w:r>
      <w:r w:rsidR="003321B3">
        <w:rPr>
          <w:sz w:val="28"/>
          <w:szCs w:val="28"/>
        </w:rPr>
        <w:t>спеціалістів, які беруть участь у виконанні</w:t>
      </w:r>
      <w:r w:rsidRPr="00DA51B6">
        <w:rPr>
          <w:sz w:val="28"/>
          <w:szCs w:val="28"/>
        </w:rPr>
        <w:t xml:space="preserve"> наукових та науково-технічних робіт на засадах сумісництва</w:t>
      </w:r>
      <w:r w:rsidR="00224A8B">
        <w:rPr>
          <w:sz w:val="28"/>
          <w:szCs w:val="28"/>
        </w:rPr>
        <w:t>,</w:t>
      </w:r>
      <w:r w:rsidRPr="00DA51B6">
        <w:rPr>
          <w:sz w:val="28"/>
          <w:szCs w:val="28"/>
        </w:rPr>
        <w:t xml:space="preserve"> </w:t>
      </w:r>
      <w:r w:rsidR="00B01794">
        <w:rPr>
          <w:sz w:val="28"/>
          <w:szCs w:val="28"/>
        </w:rPr>
        <w:t>становила</w:t>
      </w:r>
      <w:r w:rsidR="00B01794" w:rsidRPr="00DA51B6">
        <w:rPr>
          <w:sz w:val="28"/>
          <w:szCs w:val="28"/>
        </w:rPr>
        <w:t xml:space="preserve"> </w:t>
      </w:r>
      <w:r w:rsidR="00ED0D99">
        <w:rPr>
          <w:sz w:val="28"/>
          <w:szCs w:val="28"/>
          <w:lang w:val="en-US"/>
        </w:rPr>
        <w:t>48</w:t>
      </w:r>
      <w:r w:rsidR="00615596">
        <w:rPr>
          <w:sz w:val="28"/>
          <w:szCs w:val="28"/>
        </w:rPr>
        <w:t>,</w:t>
      </w:r>
      <w:r w:rsidR="00ED0D99">
        <w:rPr>
          <w:sz w:val="28"/>
          <w:szCs w:val="28"/>
          <w:lang w:val="en-US"/>
        </w:rPr>
        <w:t>5</w:t>
      </w:r>
      <w:r w:rsidR="00B01794" w:rsidRPr="00DA51B6">
        <w:rPr>
          <w:sz w:val="28"/>
          <w:szCs w:val="28"/>
        </w:rPr>
        <w:t xml:space="preserve"> тис. осіб</w:t>
      </w:r>
      <w:r w:rsidR="00B01794">
        <w:rPr>
          <w:sz w:val="28"/>
          <w:szCs w:val="28"/>
        </w:rPr>
        <w:t xml:space="preserve">, </w:t>
      </w:r>
      <w:r w:rsidRPr="00DA51B6">
        <w:rPr>
          <w:sz w:val="28"/>
          <w:szCs w:val="28"/>
        </w:rPr>
        <w:t xml:space="preserve">у </w:t>
      </w:r>
      <w:r w:rsidRPr="00ED0D99">
        <w:rPr>
          <w:sz w:val="28"/>
          <w:szCs w:val="28"/>
        </w:rPr>
        <w:t>т</w:t>
      </w:r>
      <w:r w:rsidR="00ED0D99" w:rsidRPr="00ED0D99">
        <w:rPr>
          <w:sz w:val="28"/>
          <w:szCs w:val="28"/>
        </w:rPr>
        <w:t>ому</w:t>
      </w:r>
      <w:r w:rsidR="00ED0D99">
        <w:rPr>
          <w:sz w:val="28"/>
          <w:szCs w:val="28"/>
          <w:lang w:val="en-US"/>
        </w:rPr>
        <w:t xml:space="preserve"> </w:t>
      </w:r>
      <w:r w:rsidRPr="00DA51B6">
        <w:rPr>
          <w:sz w:val="28"/>
          <w:szCs w:val="28"/>
        </w:rPr>
        <w:t>ч</w:t>
      </w:r>
      <w:r w:rsidR="00ED0D99">
        <w:rPr>
          <w:sz w:val="28"/>
          <w:szCs w:val="28"/>
        </w:rPr>
        <w:t>ислі</w:t>
      </w:r>
      <w:r w:rsidRPr="00DA51B6">
        <w:rPr>
          <w:sz w:val="28"/>
          <w:szCs w:val="28"/>
        </w:rPr>
        <w:t xml:space="preserve"> дослідників – </w:t>
      </w:r>
      <w:r w:rsidR="00ED0D99">
        <w:rPr>
          <w:sz w:val="28"/>
          <w:szCs w:val="28"/>
        </w:rPr>
        <w:t>42,7 тис. осіб</w:t>
      </w:r>
      <w:r w:rsidRPr="00DA51B6">
        <w:rPr>
          <w:sz w:val="28"/>
          <w:szCs w:val="28"/>
        </w:rPr>
        <w:t xml:space="preserve">, </w:t>
      </w:r>
      <w:r w:rsidR="00422029" w:rsidRPr="00DA51B6">
        <w:rPr>
          <w:sz w:val="28"/>
          <w:szCs w:val="28"/>
        </w:rPr>
        <w:t xml:space="preserve">техніків </w:t>
      </w:r>
      <w:r w:rsidRPr="00DA51B6">
        <w:rPr>
          <w:sz w:val="28"/>
          <w:szCs w:val="28"/>
        </w:rPr>
        <w:t xml:space="preserve">– </w:t>
      </w:r>
      <w:r w:rsidR="00ED0D99">
        <w:rPr>
          <w:sz w:val="28"/>
          <w:szCs w:val="28"/>
        </w:rPr>
        <w:t>1,6 тис. осіб</w:t>
      </w:r>
      <w:r w:rsidR="008509E8">
        <w:rPr>
          <w:sz w:val="28"/>
          <w:szCs w:val="28"/>
        </w:rPr>
        <w:t xml:space="preserve">, </w:t>
      </w:r>
      <w:r w:rsidR="008509E8" w:rsidRPr="00DA51B6">
        <w:rPr>
          <w:sz w:val="28"/>
          <w:szCs w:val="28"/>
        </w:rPr>
        <w:t>допоміжн</w:t>
      </w:r>
      <w:r w:rsidR="008509E8" w:rsidRPr="00DA51B6">
        <w:rPr>
          <w:sz w:val="28"/>
          <w:szCs w:val="28"/>
        </w:rPr>
        <w:t>о</w:t>
      </w:r>
      <w:r w:rsidR="008509E8" w:rsidRPr="00DA51B6">
        <w:rPr>
          <w:sz w:val="28"/>
          <w:szCs w:val="28"/>
        </w:rPr>
        <w:t xml:space="preserve">го персоналу – </w:t>
      </w:r>
      <w:r w:rsidR="003321B3">
        <w:rPr>
          <w:sz w:val="28"/>
          <w:szCs w:val="28"/>
        </w:rPr>
        <w:t>2,3 тис. осіб</w:t>
      </w:r>
      <w:r w:rsidR="008509E8">
        <w:rPr>
          <w:sz w:val="28"/>
          <w:szCs w:val="28"/>
        </w:rPr>
        <w:t xml:space="preserve">. </w:t>
      </w:r>
      <w:r w:rsidR="000F658B">
        <w:rPr>
          <w:sz w:val="28"/>
          <w:szCs w:val="28"/>
        </w:rPr>
        <w:t>У</w:t>
      </w:r>
      <w:r w:rsidR="00C86B3A">
        <w:rPr>
          <w:sz w:val="28"/>
          <w:szCs w:val="28"/>
        </w:rPr>
        <w:t xml:space="preserve"> їх</w:t>
      </w:r>
      <w:r w:rsidR="00B01794">
        <w:rPr>
          <w:sz w:val="28"/>
          <w:szCs w:val="28"/>
        </w:rPr>
        <w:t>ній</w:t>
      </w:r>
      <w:r w:rsidR="00C86B3A">
        <w:rPr>
          <w:sz w:val="28"/>
          <w:szCs w:val="28"/>
        </w:rPr>
        <w:t xml:space="preserve"> </w:t>
      </w:r>
      <w:r w:rsidR="00B01794">
        <w:rPr>
          <w:sz w:val="28"/>
          <w:szCs w:val="28"/>
        </w:rPr>
        <w:t>загальній кількості</w:t>
      </w:r>
      <w:r w:rsidRPr="00DA51B6">
        <w:rPr>
          <w:sz w:val="28"/>
          <w:szCs w:val="28"/>
        </w:rPr>
        <w:t xml:space="preserve"> </w:t>
      </w:r>
      <w:r w:rsidR="00EA4EBC" w:rsidRPr="00DA51B6">
        <w:rPr>
          <w:sz w:val="28"/>
          <w:szCs w:val="28"/>
        </w:rPr>
        <w:t xml:space="preserve">доктори наук </w:t>
      </w:r>
      <w:r w:rsidR="003321B3" w:rsidRPr="00DA51B6">
        <w:rPr>
          <w:sz w:val="28"/>
          <w:szCs w:val="28"/>
        </w:rPr>
        <w:t>с</w:t>
      </w:r>
      <w:r w:rsidR="00D85B5E">
        <w:rPr>
          <w:sz w:val="28"/>
          <w:szCs w:val="28"/>
        </w:rPr>
        <w:t>танови</w:t>
      </w:r>
      <w:r w:rsidR="003321B3" w:rsidRPr="00DA51B6">
        <w:rPr>
          <w:sz w:val="28"/>
          <w:szCs w:val="28"/>
        </w:rPr>
        <w:t xml:space="preserve">ли </w:t>
      </w:r>
      <w:r w:rsidR="00EA4EBC" w:rsidRPr="00DA51B6">
        <w:rPr>
          <w:sz w:val="28"/>
          <w:szCs w:val="28"/>
        </w:rPr>
        <w:t xml:space="preserve"> </w:t>
      </w:r>
      <w:r w:rsidR="009A6279">
        <w:rPr>
          <w:sz w:val="28"/>
          <w:szCs w:val="28"/>
        </w:rPr>
        <w:t>11,</w:t>
      </w:r>
      <w:r w:rsidR="003321B3">
        <w:rPr>
          <w:sz w:val="28"/>
          <w:szCs w:val="28"/>
        </w:rPr>
        <w:t>8</w:t>
      </w:r>
      <w:r w:rsidR="0010523E">
        <w:rPr>
          <w:sz w:val="28"/>
          <w:szCs w:val="28"/>
        </w:rPr>
        <w:t>%</w:t>
      </w:r>
      <w:r w:rsidRPr="00DA51B6">
        <w:rPr>
          <w:sz w:val="28"/>
          <w:szCs w:val="28"/>
        </w:rPr>
        <w:t xml:space="preserve">, </w:t>
      </w:r>
      <w:r w:rsidR="00EA4EBC" w:rsidRPr="00DA51B6">
        <w:rPr>
          <w:sz w:val="28"/>
          <w:szCs w:val="28"/>
        </w:rPr>
        <w:t xml:space="preserve">кандидати наук – </w:t>
      </w:r>
      <w:r w:rsidR="003321B3">
        <w:rPr>
          <w:sz w:val="28"/>
          <w:szCs w:val="28"/>
        </w:rPr>
        <w:t>46,0</w:t>
      </w:r>
      <w:r w:rsidR="0010523E">
        <w:rPr>
          <w:sz w:val="28"/>
          <w:szCs w:val="28"/>
        </w:rPr>
        <w:t>%</w:t>
      </w:r>
      <w:r w:rsidR="003321B3">
        <w:rPr>
          <w:sz w:val="28"/>
          <w:szCs w:val="28"/>
        </w:rPr>
        <w:t>,</w:t>
      </w:r>
      <w:r w:rsidRPr="00DA51B6">
        <w:rPr>
          <w:sz w:val="28"/>
          <w:szCs w:val="28"/>
        </w:rPr>
        <w:t xml:space="preserve"> </w:t>
      </w:r>
      <w:r w:rsidR="00B01794">
        <w:rPr>
          <w:sz w:val="28"/>
          <w:szCs w:val="28"/>
        </w:rPr>
        <w:t>жінки –</w:t>
      </w:r>
      <w:r w:rsidR="009A67CF">
        <w:rPr>
          <w:sz w:val="28"/>
          <w:szCs w:val="28"/>
        </w:rPr>
        <w:t xml:space="preserve"> 4</w:t>
      </w:r>
      <w:r w:rsidR="003321B3">
        <w:rPr>
          <w:sz w:val="28"/>
          <w:szCs w:val="28"/>
        </w:rPr>
        <w:t>6</w:t>
      </w:r>
      <w:r w:rsidR="009A67CF">
        <w:rPr>
          <w:sz w:val="28"/>
          <w:szCs w:val="28"/>
        </w:rPr>
        <w:t>,</w:t>
      </w:r>
      <w:r w:rsidR="003321B3">
        <w:rPr>
          <w:sz w:val="28"/>
          <w:szCs w:val="28"/>
        </w:rPr>
        <w:t>4</w:t>
      </w:r>
      <w:r w:rsidR="0010523E">
        <w:rPr>
          <w:sz w:val="28"/>
          <w:szCs w:val="28"/>
        </w:rPr>
        <w:t>%</w:t>
      </w:r>
      <w:r w:rsidR="009A67CF">
        <w:rPr>
          <w:sz w:val="28"/>
          <w:szCs w:val="28"/>
        </w:rPr>
        <w:t xml:space="preserve">, </w:t>
      </w:r>
      <w:r w:rsidR="00D85B5E">
        <w:rPr>
          <w:sz w:val="28"/>
          <w:szCs w:val="28"/>
        </w:rPr>
        <w:t xml:space="preserve">з яких </w:t>
      </w:r>
      <w:r w:rsidR="009A67CF">
        <w:rPr>
          <w:sz w:val="28"/>
          <w:szCs w:val="28"/>
        </w:rPr>
        <w:t>п</w:t>
      </w:r>
      <w:r w:rsidR="009A67CF">
        <w:rPr>
          <w:sz w:val="28"/>
          <w:szCs w:val="28"/>
        </w:rPr>
        <w:t>о</w:t>
      </w:r>
      <w:r w:rsidR="009A67CF">
        <w:rPr>
          <w:sz w:val="28"/>
          <w:szCs w:val="28"/>
        </w:rPr>
        <w:t>ловина</w:t>
      </w:r>
      <w:r w:rsidR="00D85B5E">
        <w:rPr>
          <w:sz w:val="28"/>
          <w:szCs w:val="28"/>
        </w:rPr>
        <w:t xml:space="preserve"> </w:t>
      </w:r>
      <w:r w:rsidR="009A67CF" w:rsidRPr="00DA51B6">
        <w:rPr>
          <w:sz w:val="28"/>
          <w:szCs w:val="28"/>
        </w:rPr>
        <w:t xml:space="preserve">– </w:t>
      </w:r>
      <w:r w:rsidR="009A67CF">
        <w:rPr>
          <w:sz w:val="28"/>
          <w:szCs w:val="28"/>
        </w:rPr>
        <w:t xml:space="preserve">фахівці з науковими ступенями. </w:t>
      </w:r>
      <w:r w:rsidR="0010243C" w:rsidRPr="00DA51B6">
        <w:rPr>
          <w:sz w:val="28"/>
          <w:szCs w:val="28"/>
        </w:rPr>
        <w:t xml:space="preserve">Більшість </w:t>
      </w:r>
      <w:r w:rsidR="00B01794">
        <w:rPr>
          <w:sz w:val="28"/>
          <w:szCs w:val="28"/>
        </w:rPr>
        <w:t>сумісників</w:t>
      </w:r>
      <w:r w:rsidR="0010243C" w:rsidRPr="00DA51B6">
        <w:rPr>
          <w:sz w:val="28"/>
          <w:szCs w:val="28"/>
        </w:rPr>
        <w:t xml:space="preserve"> (</w:t>
      </w:r>
      <w:r w:rsidR="0010243C">
        <w:rPr>
          <w:sz w:val="28"/>
          <w:szCs w:val="28"/>
        </w:rPr>
        <w:t>8</w:t>
      </w:r>
      <w:r w:rsidR="00C850CB">
        <w:rPr>
          <w:sz w:val="28"/>
          <w:szCs w:val="28"/>
        </w:rPr>
        <w:t>3,</w:t>
      </w:r>
      <w:r w:rsidR="003321B3">
        <w:rPr>
          <w:sz w:val="28"/>
          <w:szCs w:val="28"/>
        </w:rPr>
        <w:t>9</w:t>
      </w:r>
      <w:r w:rsidR="0010523E">
        <w:rPr>
          <w:sz w:val="28"/>
          <w:szCs w:val="28"/>
        </w:rPr>
        <w:t>%</w:t>
      </w:r>
      <w:r w:rsidR="0010243C" w:rsidRPr="00DA51B6">
        <w:rPr>
          <w:sz w:val="28"/>
          <w:szCs w:val="28"/>
        </w:rPr>
        <w:t>) прац</w:t>
      </w:r>
      <w:r w:rsidR="0010243C" w:rsidRPr="00DA51B6">
        <w:rPr>
          <w:sz w:val="28"/>
          <w:szCs w:val="28"/>
        </w:rPr>
        <w:t>ю</w:t>
      </w:r>
      <w:r w:rsidR="0010243C" w:rsidRPr="00DA51B6">
        <w:rPr>
          <w:sz w:val="28"/>
          <w:szCs w:val="28"/>
        </w:rPr>
        <w:t xml:space="preserve">вала у вищих навчальних закладах, </w:t>
      </w:r>
      <w:r w:rsidR="009A6279">
        <w:rPr>
          <w:sz w:val="28"/>
          <w:szCs w:val="28"/>
        </w:rPr>
        <w:t>6</w:t>
      </w:r>
      <w:r w:rsidR="00C850CB">
        <w:rPr>
          <w:sz w:val="28"/>
          <w:szCs w:val="28"/>
        </w:rPr>
        <w:t>2</w:t>
      </w:r>
      <w:r w:rsidR="009A6279">
        <w:rPr>
          <w:sz w:val="28"/>
          <w:szCs w:val="28"/>
        </w:rPr>
        <w:t>,</w:t>
      </w:r>
      <w:r w:rsidR="00C850CB">
        <w:rPr>
          <w:sz w:val="28"/>
          <w:szCs w:val="28"/>
        </w:rPr>
        <w:t>5</w:t>
      </w:r>
      <w:r w:rsidR="0010523E">
        <w:rPr>
          <w:sz w:val="28"/>
          <w:szCs w:val="28"/>
        </w:rPr>
        <w:t>%</w:t>
      </w:r>
      <w:r w:rsidR="0010243C" w:rsidRPr="00DA51B6">
        <w:rPr>
          <w:sz w:val="28"/>
          <w:szCs w:val="28"/>
        </w:rPr>
        <w:t xml:space="preserve"> яких – фахівці </w:t>
      </w:r>
      <w:r w:rsidR="00FD0F5B">
        <w:rPr>
          <w:sz w:val="28"/>
          <w:szCs w:val="28"/>
        </w:rPr>
        <w:t>вищої кваліфік</w:t>
      </w:r>
      <w:r w:rsidR="00FD0F5B">
        <w:rPr>
          <w:sz w:val="28"/>
          <w:szCs w:val="28"/>
        </w:rPr>
        <w:t>а</w:t>
      </w:r>
      <w:r w:rsidR="00FD0F5B">
        <w:rPr>
          <w:sz w:val="28"/>
          <w:szCs w:val="28"/>
        </w:rPr>
        <w:t>ції</w:t>
      </w:r>
      <w:r w:rsidR="0010243C" w:rsidRPr="00DA51B6">
        <w:rPr>
          <w:sz w:val="28"/>
          <w:szCs w:val="28"/>
        </w:rPr>
        <w:t>.</w:t>
      </w:r>
      <w:r w:rsidR="0010243C">
        <w:rPr>
          <w:sz w:val="28"/>
          <w:szCs w:val="28"/>
        </w:rPr>
        <w:t xml:space="preserve"> </w:t>
      </w:r>
    </w:p>
    <w:p w:rsidR="000B5BC7" w:rsidRDefault="000B5BC7" w:rsidP="000B5BC7">
      <w:pPr>
        <w:pStyle w:val="a4"/>
        <w:widowControl w:val="0"/>
        <w:ind w:firstLine="709"/>
        <w:rPr>
          <w:szCs w:val="28"/>
        </w:rPr>
      </w:pPr>
      <w:r w:rsidRPr="001B7BE5">
        <w:rPr>
          <w:szCs w:val="28"/>
        </w:rPr>
        <w:t>У 201</w:t>
      </w:r>
      <w:r w:rsidR="00365D56">
        <w:rPr>
          <w:szCs w:val="28"/>
        </w:rPr>
        <w:t>4</w:t>
      </w:r>
      <w:r w:rsidRPr="001B7BE5">
        <w:rPr>
          <w:szCs w:val="28"/>
        </w:rPr>
        <w:t>р. загальний обсяг витрат на виконання наукових та науково-</w:t>
      </w:r>
      <w:r w:rsidRPr="0023636B">
        <w:rPr>
          <w:szCs w:val="28"/>
        </w:rPr>
        <w:t xml:space="preserve">технічних робіт власними силами організацій становив </w:t>
      </w:r>
      <w:r w:rsidR="00365D56" w:rsidRPr="00702F93">
        <w:rPr>
          <w:szCs w:val="28"/>
          <w:highlight w:val="yellow"/>
        </w:rPr>
        <w:t>10</w:t>
      </w:r>
      <w:r w:rsidR="007346A5" w:rsidRPr="00702F93">
        <w:rPr>
          <w:szCs w:val="28"/>
          <w:highlight w:val="yellow"/>
        </w:rPr>
        <w:t>320</w:t>
      </w:r>
      <w:r w:rsidR="00365D56" w:rsidRPr="00702F93">
        <w:rPr>
          <w:szCs w:val="28"/>
          <w:highlight w:val="yellow"/>
        </w:rPr>
        <w:t>,</w:t>
      </w:r>
      <w:r w:rsidR="007346A5" w:rsidRPr="00702F93">
        <w:rPr>
          <w:szCs w:val="28"/>
          <w:highlight w:val="yellow"/>
        </w:rPr>
        <w:t>3</w:t>
      </w:r>
      <w:r w:rsidRPr="0023636B">
        <w:rPr>
          <w:szCs w:val="28"/>
        </w:rPr>
        <w:t xml:space="preserve"> млн.грн., у т</w:t>
      </w:r>
      <w:r w:rsidR="00365D56">
        <w:rPr>
          <w:szCs w:val="28"/>
        </w:rPr>
        <w:t xml:space="preserve">ому </w:t>
      </w:r>
      <w:r w:rsidRPr="0023636B">
        <w:rPr>
          <w:szCs w:val="28"/>
        </w:rPr>
        <w:t>ч</w:t>
      </w:r>
      <w:r w:rsidR="00365D56">
        <w:rPr>
          <w:szCs w:val="28"/>
        </w:rPr>
        <w:t>ислі</w:t>
      </w:r>
      <w:r w:rsidRPr="0023636B">
        <w:rPr>
          <w:szCs w:val="28"/>
        </w:rPr>
        <w:t xml:space="preserve"> </w:t>
      </w:r>
      <w:r w:rsidR="00365D56" w:rsidRPr="0023636B">
        <w:rPr>
          <w:szCs w:val="28"/>
        </w:rPr>
        <w:t>витрат</w:t>
      </w:r>
      <w:r w:rsidR="00365D56">
        <w:rPr>
          <w:szCs w:val="28"/>
        </w:rPr>
        <w:t xml:space="preserve">и </w:t>
      </w:r>
      <w:r w:rsidR="00365D56" w:rsidRPr="0023636B">
        <w:rPr>
          <w:szCs w:val="28"/>
        </w:rPr>
        <w:t>на оплату праці –</w:t>
      </w:r>
      <w:r w:rsidR="00365D56">
        <w:rPr>
          <w:szCs w:val="28"/>
        </w:rPr>
        <w:t xml:space="preserve"> </w:t>
      </w:r>
      <w:r w:rsidR="00365D56" w:rsidRPr="00702F93">
        <w:rPr>
          <w:szCs w:val="28"/>
          <w:highlight w:val="yellow"/>
        </w:rPr>
        <w:t>501</w:t>
      </w:r>
      <w:r w:rsidR="007346A5" w:rsidRPr="00702F93">
        <w:rPr>
          <w:szCs w:val="28"/>
          <w:highlight w:val="yellow"/>
        </w:rPr>
        <w:t>0</w:t>
      </w:r>
      <w:r w:rsidR="00365D56" w:rsidRPr="00702F93">
        <w:rPr>
          <w:szCs w:val="28"/>
          <w:highlight w:val="yellow"/>
        </w:rPr>
        <w:t>,</w:t>
      </w:r>
      <w:r w:rsidR="007346A5" w:rsidRPr="00702F93">
        <w:rPr>
          <w:szCs w:val="28"/>
          <w:highlight w:val="yellow"/>
        </w:rPr>
        <w:t>6</w:t>
      </w:r>
      <w:r w:rsidR="00365D56">
        <w:rPr>
          <w:szCs w:val="28"/>
        </w:rPr>
        <w:t xml:space="preserve"> млн.грн., </w:t>
      </w:r>
      <w:r w:rsidR="005C3797" w:rsidRPr="0023636B">
        <w:rPr>
          <w:szCs w:val="28"/>
        </w:rPr>
        <w:t xml:space="preserve">матеріальні витрати </w:t>
      </w:r>
      <w:r w:rsidR="00B01794" w:rsidRPr="0023636B">
        <w:rPr>
          <w:szCs w:val="28"/>
        </w:rPr>
        <w:t xml:space="preserve">– </w:t>
      </w:r>
      <w:r w:rsidR="007346A5" w:rsidRPr="00702F93">
        <w:rPr>
          <w:szCs w:val="28"/>
          <w:highlight w:val="yellow"/>
        </w:rPr>
        <w:t>2375,6</w:t>
      </w:r>
      <w:r w:rsidR="009E39E5">
        <w:rPr>
          <w:szCs w:val="28"/>
        </w:rPr>
        <w:t> </w:t>
      </w:r>
      <w:r w:rsidR="00365D56">
        <w:rPr>
          <w:szCs w:val="28"/>
        </w:rPr>
        <w:t>млн.грн.</w:t>
      </w:r>
      <w:r w:rsidR="005C3797" w:rsidRPr="0023636B">
        <w:rPr>
          <w:szCs w:val="28"/>
        </w:rPr>
        <w:t xml:space="preserve">, капітальні витрати – </w:t>
      </w:r>
      <w:r w:rsidR="002E0826" w:rsidRPr="00702F93">
        <w:rPr>
          <w:szCs w:val="28"/>
          <w:highlight w:val="yellow"/>
        </w:rPr>
        <w:t>23</w:t>
      </w:r>
      <w:r w:rsidR="007346A5" w:rsidRPr="00702F93">
        <w:rPr>
          <w:szCs w:val="28"/>
          <w:highlight w:val="yellow"/>
        </w:rPr>
        <w:t>6</w:t>
      </w:r>
      <w:r w:rsidR="002E0826" w:rsidRPr="00702F93">
        <w:rPr>
          <w:szCs w:val="28"/>
          <w:highlight w:val="yellow"/>
        </w:rPr>
        <w:t>,</w:t>
      </w:r>
      <w:r w:rsidR="007346A5" w:rsidRPr="00702F93">
        <w:rPr>
          <w:szCs w:val="28"/>
          <w:highlight w:val="yellow"/>
        </w:rPr>
        <w:t>7</w:t>
      </w:r>
      <w:r w:rsidR="002E0826">
        <w:rPr>
          <w:szCs w:val="28"/>
        </w:rPr>
        <w:t xml:space="preserve"> млн.грн.</w:t>
      </w:r>
      <w:r w:rsidR="005C3797" w:rsidRPr="0023636B">
        <w:rPr>
          <w:szCs w:val="28"/>
        </w:rPr>
        <w:t xml:space="preserve">, </w:t>
      </w:r>
      <w:r w:rsidR="00B01794" w:rsidRPr="0023636B">
        <w:rPr>
          <w:szCs w:val="28"/>
        </w:rPr>
        <w:t xml:space="preserve">з </w:t>
      </w:r>
      <w:r w:rsidR="00D85B5E">
        <w:rPr>
          <w:szCs w:val="28"/>
        </w:rPr>
        <w:t>них витрати</w:t>
      </w:r>
      <w:r w:rsidR="005C3797" w:rsidRPr="0023636B">
        <w:rPr>
          <w:szCs w:val="28"/>
        </w:rPr>
        <w:t xml:space="preserve"> на придбання </w:t>
      </w:r>
      <w:r w:rsidR="005C3797" w:rsidRPr="0023636B">
        <w:rPr>
          <w:szCs w:val="28"/>
        </w:rPr>
        <w:lastRenderedPageBreak/>
        <w:t>устатк</w:t>
      </w:r>
      <w:r w:rsidR="009B6C18" w:rsidRPr="0023636B">
        <w:rPr>
          <w:szCs w:val="28"/>
        </w:rPr>
        <w:t>о</w:t>
      </w:r>
      <w:r w:rsidR="005C3797" w:rsidRPr="0023636B">
        <w:rPr>
          <w:szCs w:val="28"/>
        </w:rPr>
        <w:t xml:space="preserve">вання – </w:t>
      </w:r>
      <w:r w:rsidR="002E0826" w:rsidRPr="00702F93">
        <w:rPr>
          <w:szCs w:val="28"/>
          <w:highlight w:val="yellow"/>
        </w:rPr>
        <w:t>18</w:t>
      </w:r>
      <w:r w:rsidR="007346A5" w:rsidRPr="00702F93">
        <w:rPr>
          <w:szCs w:val="28"/>
          <w:highlight w:val="yellow"/>
        </w:rPr>
        <w:t>7</w:t>
      </w:r>
      <w:r w:rsidR="002E0826" w:rsidRPr="00702F93">
        <w:rPr>
          <w:szCs w:val="28"/>
          <w:highlight w:val="yellow"/>
        </w:rPr>
        <w:t>,</w:t>
      </w:r>
      <w:r w:rsidR="007346A5" w:rsidRPr="00702F93">
        <w:rPr>
          <w:szCs w:val="28"/>
          <w:highlight w:val="yellow"/>
        </w:rPr>
        <w:t>9</w:t>
      </w:r>
      <w:r w:rsidR="002E0826">
        <w:rPr>
          <w:szCs w:val="28"/>
        </w:rPr>
        <w:t xml:space="preserve"> млн.грн</w:t>
      </w:r>
      <w:r w:rsidR="005C3797" w:rsidRPr="0023636B">
        <w:rPr>
          <w:szCs w:val="28"/>
        </w:rPr>
        <w:t xml:space="preserve">. </w:t>
      </w:r>
      <w:r w:rsidR="00B34CE9" w:rsidRPr="0023636B">
        <w:rPr>
          <w:szCs w:val="28"/>
        </w:rPr>
        <w:t>С</w:t>
      </w:r>
      <w:r w:rsidRPr="0023636B">
        <w:rPr>
          <w:szCs w:val="28"/>
        </w:rPr>
        <w:t>ер</w:t>
      </w:r>
      <w:r w:rsidRPr="0023636B">
        <w:rPr>
          <w:szCs w:val="28"/>
        </w:rPr>
        <w:t>е</w:t>
      </w:r>
      <w:r w:rsidRPr="0023636B">
        <w:rPr>
          <w:szCs w:val="28"/>
        </w:rPr>
        <w:t>дньомісячна заробітна плата виконавців досліджень і розр</w:t>
      </w:r>
      <w:r w:rsidRPr="0023636B">
        <w:rPr>
          <w:szCs w:val="28"/>
        </w:rPr>
        <w:t>о</w:t>
      </w:r>
      <w:r w:rsidRPr="0023636B">
        <w:rPr>
          <w:szCs w:val="28"/>
        </w:rPr>
        <w:t xml:space="preserve">бок </w:t>
      </w:r>
      <w:r w:rsidR="002E0826">
        <w:rPr>
          <w:szCs w:val="28"/>
        </w:rPr>
        <w:t>становила</w:t>
      </w:r>
      <w:r w:rsidRPr="0023636B">
        <w:rPr>
          <w:szCs w:val="28"/>
        </w:rPr>
        <w:t xml:space="preserve"> </w:t>
      </w:r>
      <w:r w:rsidR="002E0826" w:rsidRPr="00702F93">
        <w:rPr>
          <w:szCs w:val="28"/>
          <w:highlight w:val="yellow"/>
        </w:rPr>
        <w:t>356</w:t>
      </w:r>
      <w:r w:rsidR="007346A5" w:rsidRPr="00702F93">
        <w:rPr>
          <w:szCs w:val="28"/>
          <w:highlight w:val="yellow"/>
        </w:rPr>
        <w:t>5</w:t>
      </w:r>
      <w:r w:rsidR="00B34CE9" w:rsidRPr="0023636B">
        <w:rPr>
          <w:szCs w:val="28"/>
        </w:rPr>
        <w:t xml:space="preserve"> </w:t>
      </w:r>
      <w:r w:rsidRPr="0023636B">
        <w:rPr>
          <w:szCs w:val="28"/>
        </w:rPr>
        <w:t>грн.</w:t>
      </w:r>
      <w:r w:rsidR="00D85B5E">
        <w:rPr>
          <w:szCs w:val="28"/>
        </w:rPr>
        <w:t>,</w:t>
      </w:r>
      <w:r w:rsidR="0033398A" w:rsidRPr="0023636B">
        <w:rPr>
          <w:szCs w:val="28"/>
        </w:rPr>
        <w:t xml:space="preserve"> </w:t>
      </w:r>
      <w:r w:rsidR="00F01E4D" w:rsidRPr="007D1453">
        <w:t xml:space="preserve">що </w:t>
      </w:r>
      <w:r w:rsidR="002E0826">
        <w:t>майже відповідає</w:t>
      </w:r>
      <w:r w:rsidR="00F01E4D" w:rsidRPr="007D1453">
        <w:t xml:space="preserve"> </w:t>
      </w:r>
      <w:r w:rsidRPr="0023636B">
        <w:rPr>
          <w:szCs w:val="28"/>
        </w:rPr>
        <w:t>середньо</w:t>
      </w:r>
      <w:r w:rsidR="002E0826">
        <w:rPr>
          <w:szCs w:val="28"/>
        </w:rPr>
        <w:t>му</w:t>
      </w:r>
      <w:r w:rsidRPr="0023636B">
        <w:rPr>
          <w:szCs w:val="28"/>
        </w:rPr>
        <w:t xml:space="preserve"> </w:t>
      </w:r>
      <w:r w:rsidR="00FE3E67" w:rsidRPr="0023636B">
        <w:rPr>
          <w:szCs w:val="28"/>
        </w:rPr>
        <w:t>р</w:t>
      </w:r>
      <w:r w:rsidR="00FE3E67" w:rsidRPr="0023636B">
        <w:rPr>
          <w:szCs w:val="28"/>
        </w:rPr>
        <w:t>і</w:t>
      </w:r>
      <w:r w:rsidR="00FE3E67" w:rsidRPr="0023636B">
        <w:rPr>
          <w:szCs w:val="28"/>
        </w:rPr>
        <w:t>вн</w:t>
      </w:r>
      <w:r w:rsidR="002E0826">
        <w:rPr>
          <w:szCs w:val="28"/>
        </w:rPr>
        <w:t>ю</w:t>
      </w:r>
      <w:r w:rsidR="00FE3E67" w:rsidRPr="0023636B">
        <w:rPr>
          <w:szCs w:val="28"/>
        </w:rPr>
        <w:t xml:space="preserve"> заробітної плати </w:t>
      </w:r>
      <w:r w:rsidR="00240A36" w:rsidRPr="0023636B">
        <w:rPr>
          <w:szCs w:val="28"/>
        </w:rPr>
        <w:t>в</w:t>
      </w:r>
      <w:r w:rsidR="00B01794" w:rsidRPr="0023636B">
        <w:rPr>
          <w:szCs w:val="28"/>
        </w:rPr>
        <w:t xml:space="preserve"> економіці України</w:t>
      </w:r>
      <w:r w:rsidRPr="0023636B">
        <w:rPr>
          <w:szCs w:val="28"/>
        </w:rPr>
        <w:t xml:space="preserve"> </w:t>
      </w:r>
      <w:r w:rsidR="002E0826">
        <w:rPr>
          <w:szCs w:val="28"/>
        </w:rPr>
        <w:t xml:space="preserve">(3480 грн.) </w:t>
      </w:r>
      <w:r w:rsidR="00FE3E67" w:rsidRPr="0023636B">
        <w:rPr>
          <w:szCs w:val="28"/>
        </w:rPr>
        <w:t>і</w:t>
      </w:r>
      <w:r w:rsidR="00240A36" w:rsidRPr="0023636B">
        <w:rPr>
          <w:szCs w:val="28"/>
        </w:rPr>
        <w:t xml:space="preserve"> </w:t>
      </w:r>
      <w:r w:rsidRPr="0023636B">
        <w:rPr>
          <w:szCs w:val="28"/>
        </w:rPr>
        <w:t>значно вищ</w:t>
      </w:r>
      <w:r w:rsidR="00E02EE4">
        <w:rPr>
          <w:szCs w:val="28"/>
        </w:rPr>
        <w:t>е</w:t>
      </w:r>
      <w:r w:rsidR="00240A36" w:rsidRPr="0023636B">
        <w:rPr>
          <w:szCs w:val="28"/>
        </w:rPr>
        <w:t>,</w:t>
      </w:r>
      <w:r w:rsidRPr="0023636B">
        <w:rPr>
          <w:szCs w:val="28"/>
        </w:rPr>
        <w:t xml:space="preserve"> ніж в устан</w:t>
      </w:r>
      <w:r w:rsidRPr="0023636B">
        <w:rPr>
          <w:szCs w:val="28"/>
        </w:rPr>
        <w:t>о</w:t>
      </w:r>
      <w:r w:rsidRPr="0023636B">
        <w:rPr>
          <w:szCs w:val="28"/>
        </w:rPr>
        <w:t>вах охорони здоров</w:t>
      </w:r>
      <w:r w:rsidR="00017C10" w:rsidRPr="0023636B">
        <w:rPr>
          <w:szCs w:val="28"/>
        </w:rPr>
        <w:t>’</w:t>
      </w:r>
      <w:r w:rsidRPr="0023636B">
        <w:rPr>
          <w:szCs w:val="28"/>
        </w:rPr>
        <w:t xml:space="preserve">я та </w:t>
      </w:r>
      <w:r w:rsidR="00F01E4D">
        <w:rPr>
          <w:szCs w:val="28"/>
        </w:rPr>
        <w:t xml:space="preserve">надання </w:t>
      </w:r>
      <w:r w:rsidRPr="0023636B">
        <w:rPr>
          <w:szCs w:val="28"/>
        </w:rPr>
        <w:t>соціальної допомоги (</w:t>
      </w:r>
      <w:r w:rsidR="002E0826">
        <w:rPr>
          <w:szCs w:val="28"/>
        </w:rPr>
        <w:t>2441</w:t>
      </w:r>
      <w:r w:rsidR="002F26A4">
        <w:rPr>
          <w:szCs w:val="28"/>
        </w:rPr>
        <w:t xml:space="preserve"> </w:t>
      </w:r>
      <w:r w:rsidRPr="0023636B">
        <w:rPr>
          <w:szCs w:val="28"/>
        </w:rPr>
        <w:t>грн.)</w:t>
      </w:r>
      <w:r w:rsidR="00B01794" w:rsidRPr="0023636B">
        <w:rPr>
          <w:szCs w:val="28"/>
        </w:rPr>
        <w:t xml:space="preserve"> </w:t>
      </w:r>
      <w:r w:rsidR="00921DD1">
        <w:rPr>
          <w:szCs w:val="28"/>
        </w:rPr>
        <w:t>і</w:t>
      </w:r>
      <w:r w:rsidRPr="0023636B">
        <w:rPr>
          <w:szCs w:val="28"/>
        </w:rPr>
        <w:t xml:space="preserve"> закладах освіти (</w:t>
      </w:r>
      <w:r w:rsidR="00F01E4D">
        <w:rPr>
          <w:szCs w:val="28"/>
        </w:rPr>
        <w:t>27</w:t>
      </w:r>
      <w:r w:rsidR="002E0826">
        <w:rPr>
          <w:szCs w:val="28"/>
        </w:rPr>
        <w:t>45</w:t>
      </w:r>
      <w:r w:rsidRPr="0023636B">
        <w:rPr>
          <w:szCs w:val="28"/>
        </w:rPr>
        <w:t xml:space="preserve"> грн.), але нижч</w:t>
      </w:r>
      <w:r w:rsidR="00E02EE4">
        <w:rPr>
          <w:szCs w:val="28"/>
        </w:rPr>
        <w:t>е</w:t>
      </w:r>
      <w:r w:rsidRPr="0023636B">
        <w:rPr>
          <w:szCs w:val="28"/>
        </w:rPr>
        <w:t xml:space="preserve"> рівня оплати праці у сфері </w:t>
      </w:r>
      <w:r w:rsidR="004E13CC">
        <w:rPr>
          <w:szCs w:val="28"/>
        </w:rPr>
        <w:t>інформації та т</w:t>
      </w:r>
      <w:r w:rsidR="004E13CC">
        <w:rPr>
          <w:szCs w:val="28"/>
        </w:rPr>
        <w:t>е</w:t>
      </w:r>
      <w:r w:rsidR="004E13CC">
        <w:rPr>
          <w:szCs w:val="28"/>
        </w:rPr>
        <w:t>лекомунікацій (</w:t>
      </w:r>
      <w:r w:rsidR="002E0826">
        <w:rPr>
          <w:szCs w:val="28"/>
        </w:rPr>
        <w:t>5176 грн.</w:t>
      </w:r>
      <w:r w:rsidR="004E13CC">
        <w:rPr>
          <w:szCs w:val="28"/>
        </w:rPr>
        <w:t>)</w:t>
      </w:r>
      <w:r w:rsidR="00224A8B">
        <w:rPr>
          <w:szCs w:val="28"/>
        </w:rPr>
        <w:t>,</w:t>
      </w:r>
      <w:r w:rsidR="004E13CC">
        <w:rPr>
          <w:szCs w:val="28"/>
        </w:rPr>
        <w:t xml:space="preserve"> </w:t>
      </w:r>
      <w:r w:rsidRPr="0023636B">
        <w:rPr>
          <w:szCs w:val="28"/>
        </w:rPr>
        <w:t xml:space="preserve">фінансової </w:t>
      </w:r>
      <w:r w:rsidR="00F01E4D">
        <w:rPr>
          <w:szCs w:val="28"/>
        </w:rPr>
        <w:t xml:space="preserve">та страхової </w:t>
      </w:r>
      <w:r w:rsidRPr="0023636B">
        <w:rPr>
          <w:szCs w:val="28"/>
        </w:rPr>
        <w:t>діяльності (</w:t>
      </w:r>
      <w:r w:rsidR="002E0826">
        <w:rPr>
          <w:szCs w:val="28"/>
        </w:rPr>
        <w:t>7020</w:t>
      </w:r>
      <w:r w:rsidRPr="0023636B">
        <w:rPr>
          <w:szCs w:val="28"/>
        </w:rPr>
        <w:t xml:space="preserve"> грн.)</w:t>
      </w:r>
      <w:r w:rsidR="004E13CC">
        <w:rPr>
          <w:szCs w:val="28"/>
        </w:rPr>
        <w:t>.</w:t>
      </w:r>
      <w:r w:rsidR="00F01E4D">
        <w:rPr>
          <w:szCs w:val="28"/>
        </w:rPr>
        <w:t xml:space="preserve"> </w:t>
      </w:r>
    </w:p>
    <w:p w:rsidR="000B5BC7" w:rsidRPr="00F91A2D" w:rsidRDefault="00A270C4" w:rsidP="00A51D6A">
      <w:pPr>
        <w:pStyle w:val="a4"/>
        <w:widowControl w:val="0"/>
        <w:ind w:firstLine="709"/>
      </w:pPr>
      <w:r w:rsidRPr="00F91A2D">
        <w:t>У</w:t>
      </w:r>
      <w:r w:rsidR="000B5BC7" w:rsidRPr="00F91A2D">
        <w:t xml:space="preserve"> 201</w:t>
      </w:r>
      <w:r w:rsidR="00242DA5">
        <w:t>4</w:t>
      </w:r>
      <w:r w:rsidR="000B5BC7" w:rsidRPr="00F91A2D">
        <w:t xml:space="preserve">р. </w:t>
      </w:r>
      <w:r w:rsidR="00E02EE4">
        <w:t>майже чверть</w:t>
      </w:r>
      <w:r w:rsidR="000B5BC7" w:rsidRPr="00F91A2D">
        <w:t xml:space="preserve"> загального обсягу витрат бул</w:t>
      </w:r>
      <w:r w:rsidR="00380041">
        <w:t>а</w:t>
      </w:r>
      <w:r w:rsidR="000B5BC7" w:rsidRPr="00F91A2D">
        <w:t xml:space="preserve"> спрямован</w:t>
      </w:r>
      <w:r w:rsidR="00380041">
        <w:t>а</w:t>
      </w:r>
      <w:r w:rsidR="000B5BC7" w:rsidRPr="00F91A2D">
        <w:t xml:space="preserve"> на виконання фундаментальних досліджень, які на </w:t>
      </w:r>
      <w:r w:rsidR="00C41863" w:rsidRPr="00F91A2D">
        <w:t>9</w:t>
      </w:r>
      <w:r w:rsidR="00934E8D" w:rsidRPr="00F91A2D">
        <w:t>6</w:t>
      </w:r>
      <w:r w:rsidR="0010523E" w:rsidRPr="00F91A2D">
        <w:t>%</w:t>
      </w:r>
      <w:r w:rsidR="000B5BC7" w:rsidRPr="00F91A2D">
        <w:t xml:space="preserve"> профінансовано за рахунок коштів державного і місцевих бюджетів. Частка витрат на вик</w:t>
      </w:r>
      <w:r w:rsidR="000B5BC7" w:rsidRPr="00F91A2D">
        <w:t>о</w:t>
      </w:r>
      <w:r w:rsidR="000B5BC7" w:rsidRPr="00F91A2D">
        <w:t xml:space="preserve">нання прикладних досліджень становила </w:t>
      </w:r>
      <w:r w:rsidR="007346A5" w:rsidRPr="00702F93">
        <w:rPr>
          <w:highlight w:val="yellow"/>
        </w:rPr>
        <w:t>16,5</w:t>
      </w:r>
      <w:r w:rsidR="0010523E" w:rsidRPr="00F91A2D">
        <w:t>%</w:t>
      </w:r>
      <w:r w:rsidR="0066732C" w:rsidRPr="00F91A2D">
        <w:t>, понад дві третини</w:t>
      </w:r>
      <w:r w:rsidR="000B5BC7" w:rsidRPr="00F91A2D">
        <w:t xml:space="preserve"> яких асигн</w:t>
      </w:r>
      <w:r w:rsidR="000B5BC7" w:rsidRPr="00F91A2D">
        <w:t>у</w:t>
      </w:r>
      <w:r w:rsidR="000B5BC7" w:rsidRPr="00F91A2D">
        <w:t>валися за рахунок коштів державного і місцевих бюджетів</w:t>
      </w:r>
      <w:r w:rsidR="00224A8B">
        <w:t>,</w:t>
      </w:r>
      <w:r w:rsidR="000B5BC7" w:rsidRPr="00F91A2D">
        <w:t xml:space="preserve"> </w:t>
      </w:r>
      <w:r w:rsidR="00516EEF" w:rsidRPr="00F91A2D">
        <w:t>та</w:t>
      </w:r>
      <w:r w:rsidR="000B5BC7" w:rsidRPr="00F91A2D">
        <w:t xml:space="preserve"> </w:t>
      </w:r>
      <w:r w:rsidR="00242DA5">
        <w:t>20,5</w:t>
      </w:r>
      <w:r w:rsidR="0010523E" w:rsidRPr="00F91A2D">
        <w:t>%</w:t>
      </w:r>
      <w:r w:rsidR="00A51D6A">
        <w:t xml:space="preserve"> –</w:t>
      </w:r>
      <w:r w:rsidR="000B5BC7" w:rsidRPr="00F91A2D">
        <w:t xml:space="preserve"> </w:t>
      </w:r>
      <w:r w:rsidR="00A51D6A" w:rsidRPr="00F91A2D">
        <w:t xml:space="preserve">за рахунок </w:t>
      </w:r>
      <w:r w:rsidR="000B5BC7" w:rsidRPr="00F91A2D">
        <w:t>коштів підприємницького сектору. На виконання науково-технічних ро</w:t>
      </w:r>
      <w:r w:rsidR="000B5BC7" w:rsidRPr="00F91A2D">
        <w:t>з</w:t>
      </w:r>
      <w:r w:rsidR="000B5BC7" w:rsidRPr="00F91A2D">
        <w:t xml:space="preserve">робок спрямовано </w:t>
      </w:r>
      <w:r w:rsidR="007346A5" w:rsidRPr="00702F93">
        <w:rPr>
          <w:highlight w:val="yellow"/>
        </w:rPr>
        <w:t>47,8</w:t>
      </w:r>
      <w:r w:rsidR="0010523E" w:rsidRPr="00F91A2D">
        <w:t>%</w:t>
      </w:r>
      <w:r w:rsidR="000B5BC7" w:rsidRPr="00F91A2D">
        <w:t xml:space="preserve"> загального обсягу витрат, які на </w:t>
      </w:r>
      <w:r w:rsidR="00B01E78" w:rsidRPr="00702F93">
        <w:rPr>
          <w:highlight w:val="yellow"/>
        </w:rPr>
        <w:t>3</w:t>
      </w:r>
      <w:r w:rsidR="007346A5" w:rsidRPr="00702F93">
        <w:rPr>
          <w:highlight w:val="yellow"/>
        </w:rPr>
        <w:t>1</w:t>
      </w:r>
      <w:r w:rsidR="00B01E78" w:rsidRPr="00702F93">
        <w:rPr>
          <w:highlight w:val="yellow"/>
        </w:rPr>
        <w:t>,</w:t>
      </w:r>
      <w:r w:rsidR="007346A5" w:rsidRPr="00702F93">
        <w:rPr>
          <w:highlight w:val="yellow"/>
        </w:rPr>
        <w:t>7</w:t>
      </w:r>
      <w:r w:rsidR="00B01E78">
        <w:t xml:space="preserve">% </w:t>
      </w:r>
      <w:r w:rsidR="00B01E78" w:rsidRPr="00F91A2D">
        <w:t xml:space="preserve">профінансовані за рахунок власних </w:t>
      </w:r>
      <w:r w:rsidR="00B01E78">
        <w:t xml:space="preserve">коштів, </w:t>
      </w:r>
      <w:r w:rsidR="00B01E78" w:rsidRPr="00702F93">
        <w:rPr>
          <w:highlight w:val="yellow"/>
        </w:rPr>
        <w:t>3</w:t>
      </w:r>
      <w:r w:rsidR="007346A5" w:rsidRPr="00702F93">
        <w:rPr>
          <w:highlight w:val="yellow"/>
        </w:rPr>
        <w:t>6,</w:t>
      </w:r>
      <w:r w:rsidR="00B01E78" w:rsidRPr="00702F93">
        <w:rPr>
          <w:highlight w:val="yellow"/>
        </w:rPr>
        <w:t>4</w:t>
      </w:r>
      <w:r w:rsidR="0010523E" w:rsidRPr="00F91A2D">
        <w:t>%</w:t>
      </w:r>
      <w:r w:rsidR="000B5BC7" w:rsidRPr="00F91A2D">
        <w:t xml:space="preserve"> </w:t>
      </w:r>
      <w:r w:rsidR="00B01E78" w:rsidRPr="00F91A2D">
        <w:t>–</w:t>
      </w:r>
      <w:r w:rsidR="00B01E78">
        <w:t xml:space="preserve"> </w:t>
      </w:r>
      <w:r w:rsidR="000B5BC7" w:rsidRPr="00F91A2D">
        <w:t xml:space="preserve">іноземними фірмами, </w:t>
      </w:r>
      <w:r w:rsidR="007346A5" w:rsidRPr="00702F93">
        <w:rPr>
          <w:highlight w:val="yellow"/>
        </w:rPr>
        <w:t>20,2</w:t>
      </w:r>
      <w:r w:rsidR="0010523E" w:rsidRPr="00F91A2D">
        <w:t>%</w:t>
      </w:r>
      <w:r w:rsidR="000B5BC7" w:rsidRPr="00F91A2D">
        <w:t xml:space="preserve"> – організаціями підпр</w:t>
      </w:r>
      <w:r w:rsidR="000B5BC7" w:rsidRPr="00F91A2D">
        <w:t>и</w:t>
      </w:r>
      <w:r w:rsidR="000B5BC7" w:rsidRPr="00F91A2D">
        <w:t xml:space="preserve">ємницького сектору. </w:t>
      </w:r>
      <w:r w:rsidR="00A51D6A">
        <w:t>Частка в</w:t>
      </w:r>
      <w:r w:rsidR="000B5BC7" w:rsidRPr="00F91A2D">
        <w:t>итрат на виконання науково-технічних послуг ст</w:t>
      </w:r>
      <w:r w:rsidR="000B5BC7" w:rsidRPr="00F91A2D">
        <w:t>а</w:t>
      </w:r>
      <w:r w:rsidR="000B5BC7" w:rsidRPr="00F91A2D">
        <w:t>новил</w:t>
      </w:r>
      <w:r w:rsidR="00A51D6A">
        <w:t>а</w:t>
      </w:r>
      <w:r w:rsidR="000B5BC7" w:rsidRPr="00F91A2D">
        <w:t xml:space="preserve"> </w:t>
      </w:r>
      <w:r w:rsidR="00B01E78">
        <w:t>11,1</w:t>
      </w:r>
      <w:r w:rsidR="0010523E" w:rsidRPr="00F91A2D">
        <w:t>%</w:t>
      </w:r>
      <w:r w:rsidR="000B5BC7" w:rsidRPr="00F91A2D">
        <w:t xml:space="preserve"> загального обсягу витрат. Більш</w:t>
      </w:r>
      <w:r w:rsidR="00A51D6A">
        <w:t>е</w:t>
      </w:r>
      <w:r w:rsidR="000B5BC7" w:rsidRPr="00F91A2D">
        <w:t xml:space="preserve"> половин</w:t>
      </w:r>
      <w:r w:rsidR="00A51D6A">
        <w:t>и</w:t>
      </w:r>
      <w:r w:rsidR="000B5BC7" w:rsidRPr="00F91A2D">
        <w:t xml:space="preserve"> загального обс</w:t>
      </w:r>
      <w:r w:rsidR="000B5BC7" w:rsidRPr="00F91A2D">
        <w:t>я</w:t>
      </w:r>
      <w:r w:rsidR="000B5BC7" w:rsidRPr="00F91A2D">
        <w:t xml:space="preserve">гу витрат спрямовано на дослідження і розробки зі створення нових або </w:t>
      </w:r>
      <w:r w:rsidR="00673C6D">
        <w:t>в</w:t>
      </w:r>
      <w:r w:rsidR="000B5BC7" w:rsidRPr="00F91A2D">
        <w:t xml:space="preserve">досконалення існуючих видів виробів, технологій та матеріалів, </w:t>
      </w:r>
      <w:r w:rsidR="007346A5" w:rsidRPr="00702F93">
        <w:rPr>
          <w:highlight w:val="yellow"/>
        </w:rPr>
        <w:t>13</w:t>
      </w:r>
      <w:r w:rsidR="0010523E" w:rsidRPr="00F91A2D">
        <w:t>%</w:t>
      </w:r>
      <w:r w:rsidR="000B5BC7" w:rsidRPr="00F91A2D">
        <w:t xml:space="preserve"> яких – на замовлення промислових підпр</w:t>
      </w:r>
      <w:r w:rsidR="000B5BC7" w:rsidRPr="00F91A2D">
        <w:t>и</w:t>
      </w:r>
      <w:r w:rsidR="000B5BC7" w:rsidRPr="00F91A2D">
        <w:t>ємств.</w:t>
      </w:r>
    </w:p>
    <w:p w:rsidR="00D951A1" w:rsidRDefault="00D951A1" w:rsidP="004E13CC">
      <w:pPr>
        <w:widowControl w:val="0"/>
        <w:jc w:val="center"/>
        <w:rPr>
          <w:b/>
          <w:sz w:val="28"/>
          <w:szCs w:val="28"/>
        </w:rPr>
      </w:pPr>
    </w:p>
    <w:p w:rsidR="000B5BC7" w:rsidRPr="00A809A8" w:rsidRDefault="000B5BC7" w:rsidP="004E13CC">
      <w:pPr>
        <w:widowControl w:val="0"/>
        <w:jc w:val="center"/>
        <w:rPr>
          <w:b/>
          <w:sz w:val="28"/>
          <w:szCs w:val="28"/>
        </w:rPr>
      </w:pPr>
      <w:r w:rsidRPr="00A809A8">
        <w:rPr>
          <w:b/>
          <w:sz w:val="28"/>
          <w:szCs w:val="28"/>
        </w:rPr>
        <w:t xml:space="preserve">Розподіл загального обсягу фінансування наукових </w:t>
      </w:r>
    </w:p>
    <w:p w:rsidR="000B5BC7" w:rsidRPr="00A809A8" w:rsidRDefault="000B5BC7" w:rsidP="004E13CC">
      <w:pPr>
        <w:widowControl w:val="0"/>
        <w:jc w:val="center"/>
        <w:rPr>
          <w:b/>
          <w:sz w:val="28"/>
          <w:szCs w:val="28"/>
        </w:rPr>
      </w:pPr>
      <w:r w:rsidRPr="00A809A8">
        <w:rPr>
          <w:b/>
          <w:sz w:val="28"/>
          <w:szCs w:val="28"/>
        </w:rPr>
        <w:t xml:space="preserve">та науково-технічних робіт в Україні за джерелами, </w:t>
      </w:r>
      <w:r w:rsidR="0010523E" w:rsidRPr="00A809A8">
        <w:rPr>
          <w:sz w:val="28"/>
          <w:szCs w:val="28"/>
        </w:rPr>
        <w:t>%</w:t>
      </w:r>
    </w:p>
    <w:p w:rsidR="000B5BC7" w:rsidRPr="00DA51B6" w:rsidRDefault="004B4560" w:rsidP="000B5BC7">
      <w:pPr>
        <w:pStyle w:val="a4"/>
        <w:widowControl w:val="0"/>
        <w:ind w:firstLine="709"/>
      </w:pPr>
      <w:r w:rsidRPr="00DA51B6">
        <w:rPr>
          <w:noProof/>
          <w:lang w:eastAsia="uk-UA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344170</wp:posOffset>
            </wp:positionH>
            <wp:positionV relativeFrom="paragraph">
              <wp:posOffset>301757</wp:posOffset>
            </wp:positionV>
            <wp:extent cx="5432425" cy="2283460"/>
            <wp:effectExtent l="0" t="0" r="0" b="2540"/>
            <wp:wrapTopAndBottom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59C" w:rsidRDefault="007C259C" w:rsidP="000B5BC7">
      <w:pPr>
        <w:pStyle w:val="a4"/>
        <w:widowControl w:val="0"/>
        <w:ind w:firstLine="709"/>
      </w:pPr>
    </w:p>
    <w:p w:rsidR="007C2060" w:rsidRPr="00985627" w:rsidRDefault="007C2060" w:rsidP="007C2060">
      <w:pPr>
        <w:pStyle w:val="a4"/>
        <w:tabs>
          <w:tab w:val="left" w:pos="4759"/>
        </w:tabs>
      </w:pPr>
      <w:r w:rsidRPr="00985627">
        <w:rPr>
          <w:szCs w:val="28"/>
        </w:rPr>
        <w:t>За попередніми розрахунками</w:t>
      </w:r>
      <w:r w:rsidR="00224A8B">
        <w:rPr>
          <w:szCs w:val="28"/>
        </w:rPr>
        <w:t>,</w:t>
      </w:r>
      <w:r w:rsidRPr="00985627">
        <w:rPr>
          <w:szCs w:val="28"/>
        </w:rPr>
        <w:t xml:space="preserve"> питома вага загального обсягу в</w:t>
      </w:r>
      <w:r w:rsidRPr="00985627">
        <w:rPr>
          <w:szCs w:val="28"/>
        </w:rPr>
        <w:t>и</w:t>
      </w:r>
      <w:r w:rsidRPr="00985627">
        <w:rPr>
          <w:szCs w:val="28"/>
        </w:rPr>
        <w:t xml:space="preserve">трат у ВВП становила </w:t>
      </w:r>
      <w:r w:rsidRPr="00702F93">
        <w:rPr>
          <w:szCs w:val="28"/>
          <w:highlight w:val="yellow"/>
        </w:rPr>
        <w:t>0,6</w:t>
      </w:r>
      <w:r w:rsidR="00702F93" w:rsidRPr="00702F93">
        <w:rPr>
          <w:szCs w:val="28"/>
          <w:highlight w:val="yellow"/>
        </w:rPr>
        <w:t>6</w:t>
      </w:r>
      <w:r w:rsidRPr="00985627">
        <w:rPr>
          <w:szCs w:val="28"/>
        </w:rPr>
        <w:t>%, у тому числі за рахунок коштів дер</w:t>
      </w:r>
      <w:r w:rsidRPr="00985627">
        <w:rPr>
          <w:szCs w:val="28"/>
        </w:rPr>
        <w:t>ж</w:t>
      </w:r>
      <w:r w:rsidRPr="00985627">
        <w:rPr>
          <w:szCs w:val="28"/>
        </w:rPr>
        <w:t xml:space="preserve">авного бюджету – 0,26%. </w:t>
      </w:r>
      <w:r w:rsidRPr="00985627">
        <w:t>За даними Є</w:t>
      </w:r>
      <w:r w:rsidRPr="00985627">
        <w:t>в</w:t>
      </w:r>
      <w:r w:rsidRPr="00985627">
        <w:t>ростату</w:t>
      </w:r>
      <w:r w:rsidR="00224A8B">
        <w:t>,</w:t>
      </w:r>
      <w:r w:rsidR="00380041">
        <w:t xml:space="preserve"> частка</w:t>
      </w:r>
      <w:r w:rsidRPr="00985627">
        <w:t xml:space="preserve"> обсягу витрат на наукові дослідження та розробки країн ЄС-28 у ВВП станови</w:t>
      </w:r>
      <w:r w:rsidR="00224A8B">
        <w:t>ла</w:t>
      </w:r>
      <w:r w:rsidRPr="00985627">
        <w:t xml:space="preserve"> 2,01%. Більшою </w:t>
      </w:r>
      <w:r w:rsidR="00380041">
        <w:t xml:space="preserve">за середню </w:t>
      </w:r>
      <w:r w:rsidRPr="00985627">
        <w:t>частка витрат на дослідже</w:t>
      </w:r>
      <w:r w:rsidRPr="00985627">
        <w:t>н</w:t>
      </w:r>
      <w:r w:rsidRPr="00985627">
        <w:t>ня та розробки була у Фінляндії – 3,31%, Швеції – 3,3%, Данії – 3,06%, Німеччині – 2,85%, Австрії – 2,81%, Словенії – 2,59%, Ф</w:t>
      </w:r>
      <w:r w:rsidR="00380041">
        <w:t>ранції – 2,23%, Бельгії – 2,28%</w:t>
      </w:r>
      <w:r w:rsidRPr="00985627">
        <w:t>; меншою – у Чорногорії, Румунії, Кіпрі, Латвії  та Бо</w:t>
      </w:r>
      <w:r w:rsidRPr="00985627">
        <w:t>л</w:t>
      </w:r>
      <w:r w:rsidRPr="00985627">
        <w:t>гарії (від 0,38% до 0,65%).</w:t>
      </w:r>
    </w:p>
    <w:p w:rsidR="000B5BC7" w:rsidRPr="00DA51B6" w:rsidRDefault="000B5BC7" w:rsidP="000B5BC7">
      <w:pPr>
        <w:pStyle w:val="a4"/>
        <w:widowControl w:val="0"/>
        <w:ind w:firstLine="709"/>
      </w:pPr>
      <w:r w:rsidRPr="00DA51B6">
        <w:t xml:space="preserve">Загальний обсяг наукових та науково-технічних робіт, виконаних </w:t>
      </w:r>
      <w:r w:rsidRPr="00DA51B6">
        <w:lastRenderedPageBreak/>
        <w:t>власними силами наукових організацій у 201</w:t>
      </w:r>
      <w:r w:rsidR="00080E1D">
        <w:rPr>
          <w:lang w:val="en-US"/>
        </w:rPr>
        <w:t>4</w:t>
      </w:r>
      <w:r w:rsidRPr="00DA51B6">
        <w:t>р.,</w:t>
      </w:r>
      <w:r w:rsidR="00D53367" w:rsidRPr="00DA51B6">
        <w:t xml:space="preserve"> </w:t>
      </w:r>
      <w:r w:rsidR="00080E1D" w:rsidRPr="00080E1D">
        <w:t>становив</w:t>
      </w:r>
      <w:r w:rsidR="00080E1D">
        <w:rPr>
          <w:lang w:val="en-US"/>
        </w:rPr>
        <w:t xml:space="preserve"> </w:t>
      </w:r>
      <w:r w:rsidR="00F26E8A" w:rsidRPr="00F26E8A">
        <w:rPr>
          <w:highlight w:val="yellow"/>
        </w:rPr>
        <w:t>10950,7</w:t>
      </w:r>
      <w:r w:rsidR="00080E1D">
        <w:t> млн.грн.,</w:t>
      </w:r>
      <w:r w:rsidR="00D53367" w:rsidRPr="00DA51B6">
        <w:t xml:space="preserve"> </w:t>
      </w:r>
      <w:r w:rsidR="001C5A96">
        <w:t>у т</w:t>
      </w:r>
      <w:r w:rsidR="00080E1D">
        <w:t xml:space="preserve">ому </w:t>
      </w:r>
      <w:r w:rsidR="001C5A96">
        <w:t>ч</w:t>
      </w:r>
      <w:r w:rsidR="00080E1D">
        <w:t>ислі</w:t>
      </w:r>
      <w:r w:rsidR="001C5A96">
        <w:t xml:space="preserve"> </w:t>
      </w:r>
      <w:r w:rsidR="00231117">
        <w:t>обсяг науково-дослідних робіт – 43</w:t>
      </w:r>
      <w:r w:rsidR="00080E1D">
        <w:t>85,4 </w:t>
      </w:r>
      <w:r w:rsidR="00231117">
        <w:t xml:space="preserve">млн.грн., </w:t>
      </w:r>
      <w:r w:rsidR="00080E1D">
        <w:t xml:space="preserve">обсяг </w:t>
      </w:r>
      <w:r w:rsidR="00080E1D" w:rsidRPr="00DA51B6">
        <w:t xml:space="preserve">науково-технічних розробок </w:t>
      </w:r>
      <w:r w:rsidR="00080E1D">
        <w:t xml:space="preserve">– </w:t>
      </w:r>
      <w:r w:rsidR="00F26E8A" w:rsidRPr="00F26E8A">
        <w:rPr>
          <w:highlight w:val="yellow"/>
        </w:rPr>
        <w:t>5341,5</w:t>
      </w:r>
      <w:r w:rsidR="00080E1D">
        <w:t xml:space="preserve"> млн.грн.,</w:t>
      </w:r>
      <w:r w:rsidR="00080E1D" w:rsidRPr="00DA51B6">
        <w:t xml:space="preserve"> </w:t>
      </w:r>
      <w:r w:rsidR="00231117" w:rsidRPr="00DA51B6">
        <w:t>обсяг на</w:t>
      </w:r>
      <w:r w:rsidR="00231117" w:rsidRPr="00DA51B6">
        <w:t>у</w:t>
      </w:r>
      <w:r w:rsidR="00231117" w:rsidRPr="00DA51B6">
        <w:t xml:space="preserve">ково-технічних послуг – </w:t>
      </w:r>
      <w:r w:rsidR="00B2368E" w:rsidRPr="00F26E8A">
        <w:rPr>
          <w:highlight w:val="yellow"/>
        </w:rPr>
        <w:t>12</w:t>
      </w:r>
      <w:r w:rsidR="00F26E8A" w:rsidRPr="00F26E8A">
        <w:rPr>
          <w:highlight w:val="yellow"/>
        </w:rPr>
        <w:t>2</w:t>
      </w:r>
      <w:r w:rsidR="00080E1D" w:rsidRPr="00F26E8A">
        <w:rPr>
          <w:highlight w:val="yellow"/>
        </w:rPr>
        <w:t>3</w:t>
      </w:r>
      <w:r w:rsidR="00B2368E" w:rsidRPr="00F26E8A">
        <w:rPr>
          <w:highlight w:val="yellow"/>
        </w:rPr>
        <w:t>,</w:t>
      </w:r>
      <w:r w:rsidR="00F26E8A" w:rsidRPr="00F26E8A">
        <w:rPr>
          <w:highlight w:val="yellow"/>
        </w:rPr>
        <w:t>8</w:t>
      </w:r>
      <w:r w:rsidR="00B2368E">
        <w:t> </w:t>
      </w:r>
      <w:r w:rsidR="00231117">
        <w:t>млн.грн.</w:t>
      </w:r>
      <w:r w:rsidRPr="00DA51B6">
        <w:t xml:space="preserve"> </w:t>
      </w:r>
      <w:r w:rsidR="00D85B5E">
        <w:t>Його п</w:t>
      </w:r>
      <w:r w:rsidR="00982999">
        <w:t>итома вага</w:t>
      </w:r>
      <w:r w:rsidRPr="00DA51B6">
        <w:t xml:space="preserve"> у ВВП станов</w:t>
      </w:r>
      <w:r w:rsidRPr="00DA51B6">
        <w:t>и</w:t>
      </w:r>
      <w:r w:rsidRPr="00DA51B6">
        <w:t xml:space="preserve">ла </w:t>
      </w:r>
      <w:r w:rsidRPr="00F26E8A">
        <w:rPr>
          <w:highlight w:val="yellow"/>
        </w:rPr>
        <w:t>0,</w:t>
      </w:r>
      <w:r w:rsidR="00080E1D" w:rsidRPr="00F26E8A">
        <w:rPr>
          <w:highlight w:val="yellow"/>
        </w:rPr>
        <w:t>7</w:t>
      </w:r>
      <w:r w:rsidR="00F26E8A" w:rsidRPr="00F26E8A">
        <w:rPr>
          <w:highlight w:val="yellow"/>
        </w:rPr>
        <w:t>0</w:t>
      </w:r>
      <w:r w:rsidR="0010523E">
        <w:t>%</w:t>
      </w:r>
      <w:r w:rsidRPr="00DA51B6">
        <w:t>.</w:t>
      </w:r>
    </w:p>
    <w:p w:rsidR="009756CE" w:rsidRPr="00080E1D" w:rsidRDefault="009756CE" w:rsidP="009756CE">
      <w:pPr>
        <w:pStyle w:val="a4"/>
        <w:tabs>
          <w:tab w:val="left" w:pos="9299"/>
        </w:tabs>
      </w:pPr>
      <w:r w:rsidRPr="00080E1D">
        <w:t>Основними виконавцями фундаментальних і прикладних досліджень були організації де</w:t>
      </w:r>
      <w:r w:rsidRPr="00080E1D">
        <w:t>р</w:t>
      </w:r>
      <w:r w:rsidRPr="00080E1D">
        <w:t>жавного сектору (відповідно 90,4% і 62,5% обсягу цих робіт), на</w:t>
      </w:r>
      <w:r w:rsidRPr="00080E1D">
        <w:t>у</w:t>
      </w:r>
      <w:r w:rsidRPr="00080E1D">
        <w:t xml:space="preserve">ково-технічних розробок і науково-технічних послуг – організації підприємницького сектору (відповідно </w:t>
      </w:r>
      <w:r w:rsidRPr="00F26E8A">
        <w:rPr>
          <w:highlight w:val="yellow"/>
        </w:rPr>
        <w:t>93</w:t>
      </w:r>
      <w:r w:rsidR="00F26E8A" w:rsidRPr="00F26E8A">
        <w:rPr>
          <w:highlight w:val="yellow"/>
        </w:rPr>
        <w:t>,1</w:t>
      </w:r>
      <w:r w:rsidRPr="00080E1D">
        <w:t xml:space="preserve">% і </w:t>
      </w:r>
      <w:r w:rsidRPr="00F26E8A">
        <w:rPr>
          <w:highlight w:val="yellow"/>
        </w:rPr>
        <w:t>7</w:t>
      </w:r>
      <w:r w:rsidR="00F26E8A" w:rsidRPr="00F26E8A">
        <w:rPr>
          <w:highlight w:val="yellow"/>
        </w:rPr>
        <w:t>7</w:t>
      </w:r>
      <w:r w:rsidRPr="00F26E8A">
        <w:rPr>
          <w:highlight w:val="yellow"/>
        </w:rPr>
        <w:t>,</w:t>
      </w:r>
      <w:r w:rsidR="00F26E8A" w:rsidRPr="00F26E8A">
        <w:rPr>
          <w:highlight w:val="yellow"/>
        </w:rPr>
        <w:t>9</w:t>
      </w:r>
      <w:r w:rsidRPr="00080E1D">
        <w:t>%).</w:t>
      </w:r>
    </w:p>
    <w:p w:rsidR="00D951A1" w:rsidRDefault="00D951A1" w:rsidP="00D951A1">
      <w:pPr>
        <w:widowControl w:val="0"/>
        <w:ind w:left="-113" w:right="-113"/>
        <w:jc w:val="center"/>
        <w:rPr>
          <w:b/>
          <w:bCs/>
          <w:sz w:val="28"/>
          <w:szCs w:val="28"/>
        </w:rPr>
      </w:pPr>
    </w:p>
    <w:p w:rsidR="00D951A1" w:rsidRDefault="00D951A1" w:rsidP="00380041">
      <w:pPr>
        <w:widowControl w:val="0"/>
        <w:jc w:val="center"/>
        <w:rPr>
          <w:b/>
          <w:bCs/>
          <w:sz w:val="28"/>
          <w:szCs w:val="28"/>
        </w:rPr>
      </w:pPr>
      <w:r w:rsidRPr="00DA51B6">
        <w:rPr>
          <w:b/>
          <w:bCs/>
          <w:sz w:val="28"/>
          <w:szCs w:val="28"/>
        </w:rPr>
        <w:t>Кількість виконуваних на</w:t>
      </w:r>
      <w:r w:rsidRPr="00DA51B6">
        <w:rPr>
          <w:b/>
          <w:bCs/>
          <w:sz w:val="28"/>
          <w:szCs w:val="28"/>
        </w:rPr>
        <w:t>у</w:t>
      </w:r>
      <w:r w:rsidRPr="00DA51B6">
        <w:rPr>
          <w:b/>
          <w:bCs/>
          <w:sz w:val="28"/>
          <w:szCs w:val="28"/>
        </w:rPr>
        <w:t>кових та науково-технічних робіт</w:t>
      </w:r>
      <w:r w:rsidR="00380041">
        <w:rPr>
          <w:b/>
          <w:bCs/>
          <w:sz w:val="28"/>
          <w:szCs w:val="28"/>
        </w:rPr>
        <w:t xml:space="preserve"> </w:t>
      </w:r>
      <w:r w:rsidRPr="00DA51B6">
        <w:rPr>
          <w:b/>
          <w:bCs/>
          <w:sz w:val="28"/>
          <w:szCs w:val="28"/>
        </w:rPr>
        <w:t>за напрям</w:t>
      </w:r>
      <w:r w:rsidRPr="00DA51B6">
        <w:rPr>
          <w:b/>
          <w:bCs/>
          <w:sz w:val="28"/>
          <w:szCs w:val="28"/>
        </w:rPr>
        <w:t>а</w:t>
      </w:r>
      <w:r w:rsidRPr="00DA51B6">
        <w:rPr>
          <w:b/>
          <w:bCs/>
          <w:sz w:val="28"/>
          <w:szCs w:val="28"/>
        </w:rPr>
        <w:t>ми</w:t>
      </w:r>
    </w:p>
    <w:p w:rsidR="00380041" w:rsidRDefault="00380041" w:rsidP="00D951A1">
      <w:pPr>
        <w:widowControl w:val="0"/>
        <w:jc w:val="right"/>
        <w:rPr>
          <w:sz w:val="24"/>
          <w:szCs w:val="24"/>
        </w:rPr>
      </w:pPr>
    </w:p>
    <w:p w:rsidR="00D951A1" w:rsidRPr="00DF5249" w:rsidRDefault="00D951A1" w:rsidP="00D951A1">
      <w:pPr>
        <w:widowControl w:val="0"/>
        <w:jc w:val="right"/>
        <w:rPr>
          <w:sz w:val="24"/>
          <w:szCs w:val="24"/>
        </w:rPr>
      </w:pPr>
      <w:r w:rsidRPr="00DF5249">
        <w:rPr>
          <w:sz w:val="24"/>
          <w:szCs w:val="24"/>
        </w:rPr>
        <w:t>(од)</w:t>
      </w:r>
    </w:p>
    <w:tbl>
      <w:tblPr>
        <w:tblW w:w="5000" w:type="pct"/>
        <w:jc w:val="center"/>
        <w:tblBorders>
          <w:top w:val="single" w:sz="12" w:space="0" w:color="008000"/>
          <w:bottom w:val="single" w:sz="12" w:space="0" w:color="008000"/>
        </w:tblBorders>
        <w:tblLook w:val="0000" w:firstRow="0" w:lastRow="0" w:firstColumn="0" w:lastColumn="0" w:noHBand="0" w:noVBand="0"/>
      </w:tblPr>
      <w:tblGrid>
        <w:gridCol w:w="5095"/>
        <w:gridCol w:w="2271"/>
        <w:gridCol w:w="2273"/>
      </w:tblGrid>
      <w:tr w:rsidR="00D951A1" w:rsidRPr="0054394A" w:rsidTr="00363F68">
        <w:trPr>
          <w:trHeight w:val="20"/>
          <w:jc w:val="center"/>
        </w:trPr>
        <w:tc>
          <w:tcPr>
            <w:tcW w:w="264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951A1" w:rsidRPr="0054394A" w:rsidRDefault="00D951A1" w:rsidP="00B44A3C">
            <w:pPr>
              <w:jc w:val="center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 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1A1" w:rsidRPr="0054394A" w:rsidRDefault="00D951A1" w:rsidP="00363F68">
            <w:pPr>
              <w:jc w:val="center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Загальна кіл</w:t>
            </w:r>
            <w:r w:rsidRPr="0054394A">
              <w:rPr>
                <w:sz w:val="24"/>
                <w:szCs w:val="24"/>
              </w:rPr>
              <w:t>ь</w:t>
            </w:r>
            <w:r w:rsidRPr="0054394A">
              <w:rPr>
                <w:sz w:val="24"/>
                <w:szCs w:val="24"/>
              </w:rPr>
              <w:t>кість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51A1" w:rsidRPr="0054394A" w:rsidRDefault="00D951A1" w:rsidP="00363F68">
            <w:pPr>
              <w:jc w:val="center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З неї упровадж</w:t>
            </w:r>
            <w:r w:rsidRPr="0054394A">
              <w:rPr>
                <w:sz w:val="24"/>
                <w:szCs w:val="24"/>
              </w:rPr>
              <w:t>е</w:t>
            </w:r>
            <w:r w:rsidRPr="0054394A">
              <w:rPr>
                <w:sz w:val="24"/>
                <w:szCs w:val="24"/>
              </w:rPr>
              <w:t>но</w:t>
            </w:r>
          </w:p>
        </w:tc>
      </w:tr>
      <w:tr w:rsidR="00D951A1" w:rsidRPr="0054394A" w:rsidTr="00363F68">
        <w:trPr>
          <w:trHeight w:val="20"/>
          <w:jc w:val="center"/>
        </w:trPr>
        <w:tc>
          <w:tcPr>
            <w:tcW w:w="2643" w:type="pct"/>
            <w:tcBorders>
              <w:top w:val="single" w:sz="4" w:space="0" w:color="auto"/>
            </w:tcBorders>
            <w:shd w:val="clear" w:color="auto" w:fill="auto"/>
          </w:tcPr>
          <w:p w:rsidR="00D951A1" w:rsidRPr="0054394A" w:rsidRDefault="00D951A1" w:rsidP="00B44A3C">
            <w:pPr>
              <w:spacing w:before="120"/>
              <w:rPr>
                <w:b/>
                <w:sz w:val="24"/>
                <w:szCs w:val="24"/>
              </w:rPr>
            </w:pPr>
            <w:r w:rsidRPr="0054394A">
              <w:rPr>
                <w:b/>
                <w:sz w:val="24"/>
                <w:szCs w:val="24"/>
              </w:rPr>
              <w:t>Усього</w:t>
            </w:r>
          </w:p>
        </w:tc>
        <w:tc>
          <w:tcPr>
            <w:tcW w:w="117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51A1" w:rsidRPr="0054394A" w:rsidRDefault="00F26E8A" w:rsidP="00363F68">
            <w:pPr>
              <w:spacing w:before="120"/>
              <w:ind w:right="284"/>
              <w:jc w:val="right"/>
              <w:rPr>
                <w:b/>
                <w:sz w:val="24"/>
                <w:szCs w:val="24"/>
              </w:rPr>
            </w:pPr>
            <w:r w:rsidRPr="00F26E8A">
              <w:rPr>
                <w:b/>
                <w:sz w:val="24"/>
                <w:szCs w:val="24"/>
                <w:highlight w:val="yellow"/>
              </w:rPr>
              <w:t>42953</w:t>
            </w:r>
          </w:p>
        </w:tc>
        <w:tc>
          <w:tcPr>
            <w:tcW w:w="117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51A1" w:rsidRPr="0054394A" w:rsidRDefault="00D951A1" w:rsidP="00363F68">
            <w:pPr>
              <w:spacing w:before="120"/>
              <w:ind w:right="28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30662</w:t>
            </w:r>
          </w:p>
        </w:tc>
      </w:tr>
      <w:tr w:rsidR="00D951A1" w:rsidRPr="0054394A" w:rsidTr="00363F68">
        <w:trPr>
          <w:trHeight w:val="20"/>
          <w:jc w:val="center"/>
        </w:trPr>
        <w:tc>
          <w:tcPr>
            <w:tcW w:w="2643" w:type="pct"/>
            <w:shd w:val="clear" w:color="auto" w:fill="auto"/>
          </w:tcPr>
          <w:p w:rsidR="00D951A1" w:rsidRPr="0054394A" w:rsidRDefault="00D951A1" w:rsidP="00B44A3C">
            <w:pPr>
              <w:ind w:left="142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у т</w:t>
            </w:r>
            <w:r>
              <w:rPr>
                <w:sz w:val="24"/>
                <w:szCs w:val="24"/>
              </w:rPr>
              <w:t xml:space="preserve">ому </w:t>
            </w:r>
            <w:r w:rsidRPr="0054394A"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ислі</w:t>
            </w:r>
            <w:r w:rsidRPr="0054394A">
              <w:rPr>
                <w:sz w:val="24"/>
                <w:szCs w:val="24"/>
              </w:rPr>
              <w:t xml:space="preserve"> зі створення</w:t>
            </w:r>
          </w:p>
        </w:tc>
        <w:tc>
          <w:tcPr>
            <w:tcW w:w="1178" w:type="pct"/>
            <w:shd w:val="clear" w:color="auto" w:fill="auto"/>
          </w:tcPr>
          <w:p w:rsidR="00D951A1" w:rsidRPr="0054394A" w:rsidRDefault="00D951A1" w:rsidP="00363F68">
            <w:pPr>
              <w:ind w:right="284"/>
              <w:jc w:val="right"/>
              <w:rPr>
                <w:sz w:val="24"/>
                <w:szCs w:val="24"/>
              </w:rPr>
            </w:pPr>
          </w:p>
        </w:tc>
        <w:tc>
          <w:tcPr>
            <w:tcW w:w="1179" w:type="pct"/>
            <w:shd w:val="clear" w:color="auto" w:fill="auto"/>
          </w:tcPr>
          <w:p w:rsidR="00D951A1" w:rsidRPr="0054394A" w:rsidRDefault="00D951A1" w:rsidP="00363F68">
            <w:pPr>
              <w:ind w:right="284"/>
              <w:jc w:val="right"/>
              <w:rPr>
                <w:sz w:val="24"/>
                <w:szCs w:val="24"/>
              </w:rPr>
            </w:pPr>
          </w:p>
        </w:tc>
      </w:tr>
      <w:tr w:rsidR="00D951A1" w:rsidRPr="0054394A" w:rsidTr="00363F68">
        <w:trPr>
          <w:trHeight w:val="20"/>
          <w:jc w:val="center"/>
        </w:trPr>
        <w:tc>
          <w:tcPr>
            <w:tcW w:w="2643" w:type="pct"/>
            <w:shd w:val="clear" w:color="auto" w:fill="auto"/>
          </w:tcPr>
          <w:p w:rsidR="00D951A1" w:rsidRPr="0054394A" w:rsidRDefault="00D951A1" w:rsidP="00B44A3C">
            <w:pPr>
              <w:ind w:left="142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нових видів виробів</w:t>
            </w:r>
          </w:p>
        </w:tc>
        <w:tc>
          <w:tcPr>
            <w:tcW w:w="1178" w:type="pct"/>
            <w:shd w:val="clear" w:color="auto" w:fill="auto"/>
          </w:tcPr>
          <w:p w:rsidR="00D951A1" w:rsidRPr="0054394A" w:rsidRDefault="00D951A1" w:rsidP="00363F68">
            <w:pPr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4652</w:t>
            </w:r>
          </w:p>
        </w:tc>
        <w:tc>
          <w:tcPr>
            <w:tcW w:w="1179" w:type="pct"/>
            <w:shd w:val="clear" w:color="auto" w:fill="auto"/>
          </w:tcPr>
          <w:p w:rsidR="00D951A1" w:rsidRPr="0054394A" w:rsidRDefault="00D951A1" w:rsidP="00363F68">
            <w:pPr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3250</w:t>
            </w:r>
          </w:p>
        </w:tc>
      </w:tr>
      <w:tr w:rsidR="00D951A1" w:rsidRPr="0054394A" w:rsidTr="00363F68">
        <w:trPr>
          <w:trHeight w:val="20"/>
          <w:jc w:val="center"/>
        </w:trPr>
        <w:tc>
          <w:tcPr>
            <w:tcW w:w="2643" w:type="pct"/>
            <w:shd w:val="clear" w:color="auto" w:fill="auto"/>
          </w:tcPr>
          <w:p w:rsidR="00D951A1" w:rsidRPr="0054394A" w:rsidRDefault="00D951A1" w:rsidP="00B44A3C">
            <w:pPr>
              <w:ind w:left="284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з них нових видів т</w:t>
            </w:r>
            <w:r w:rsidRPr="0054394A">
              <w:rPr>
                <w:sz w:val="24"/>
                <w:szCs w:val="24"/>
              </w:rPr>
              <w:t>е</w:t>
            </w:r>
            <w:r w:rsidRPr="0054394A">
              <w:rPr>
                <w:sz w:val="24"/>
                <w:szCs w:val="24"/>
              </w:rPr>
              <w:t>хніки</w:t>
            </w:r>
          </w:p>
        </w:tc>
        <w:tc>
          <w:tcPr>
            <w:tcW w:w="1178" w:type="pct"/>
            <w:shd w:val="clear" w:color="auto" w:fill="auto"/>
            <w:vAlign w:val="bottom"/>
          </w:tcPr>
          <w:p w:rsidR="00D951A1" w:rsidRPr="0054394A" w:rsidRDefault="00D951A1" w:rsidP="00363F68">
            <w:pPr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1806</w:t>
            </w:r>
          </w:p>
        </w:tc>
        <w:tc>
          <w:tcPr>
            <w:tcW w:w="1179" w:type="pct"/>
            <w:shd w:val="clear" w:color="auto" w:fill="auto"/>
            <w:vAlign w:val="bottom"/>
          </w:tcPr>
          <w:p w:rsidR="00D951A1" w:rsidRPr="0054394A" w:rsidRDefault="00D951A1" w:rsidP="00363F68">
            <w:pPr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1146</w:t>
            </w:r>
          </w:p>
        </w:tc>
      </w:tr>
      <w:tr w:rsidR="00D951A1" w:rsidRPr="0054394A" w:rsidTr="00363F68">
        <w:trPr>
          <w:trHeight w:val="20"/>
          <w:jc w:val="center"/>
        </w:trPr>
        <w:tc>
          <w:tcPr>
            <w:tcW w:w="2643" w:type="pct"/>
            <w:shd w:val="clear" w:color="auto" w:fill="auto"/>
          </w:tcPr>
          <w:p w:rsidR="00D951A1" w:rsidRPr="0054394A" w:rsidRDefault="00D951A1" w:rsidP="00B44A3C">
            <w:pPr>
              <w:ind w:left="142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нових видів технол</w:t>
            </w:r>
            <w:r w:rsidRPr="0054394A">
              <w:rPr>
                <w:sz w:val="24"/>
                <w:szCs w:val="24"/>
              </w:rPr>
              <w:t>о</w:t>
            </w:r>
            <w:r w:rsidRPr="0054394A">
              <w:rPr>
                <w:sz w:val="24"/>
                <w:szCs w:val="24"/>
              </w:rPr>
              <w:t>гій</w:t>
            </w:r>
          </w:p>
        </w:tc>
        <w:tc>
          <w:tcPr>
            <w:tcW w:w="1178" w:type="pct"/>
            <w:shd w:val="clear" w:color="auto" w:fill="auto"/>
          </w:tcPr>
          <w:p w:rsidR="00D951A1" w:rsidRPr="0054394A" w:rsidRDefault="00D951A1" w:rsidP="00363F68">
            <w:pPr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3220</w:t>
            </w:r>
          </w:p>
        </w:tc>
        <w:tc>
          <w:tcPr>
            <w:tcW w:w="1179" w:type="pct"/>
            <w:shd w:val="clear" w:color="auto" w:fill="auto"/>
          </w:tcPr>
          <w:p w:rsidR="00D951A1" w:rsidRPr="0054394A" w:rsidRDefault="00D951A1" w:rsidP="00363F68">
            <w:pPr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2088</w:t>
            </w:r>
          </w:p>
        </w:tc>
      </w:tr>
      <w:tr w:rsidR="00D951A1" w:rsidRPr="0054394A" w:rsidTr="00363F68">
        <w:trPr>
          <w:trHeight w:val="20"/>
          <w:jc w:val="center"/>
        </w:trPr>
        <w:tc>
          <w:tcPr>
            <w:tcW w:w="2643" w:type="pct"/>
            <w:shd w:val="clear" w:color="auto" w:fill="auto"/>
          </w:tcPr>
          <w:p w:rsidR="00D951A1" w:rsidRPr="0054394A" w:rsidRDefault="00D951A1" w:rsidP="00B44A3C">
            <w:pPr>
              <w:ind w:left="284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з них ресурсозбер</w:t>
            </w:r>
            <w:r w:rsidRPr="0054394A">
              <w:rPr>
                <w:sz w:val="24"/>
                <w:szCs w:val="24"/>
              </w:rPr>
              <w:t>і</w:t>
            </w:r>
            <w:r w:rsidRPr="0054394A">
              <w:rPr>
                <w:sz w:val="24"/>
                <w:szCs w:val="24"/>
              </w:rPr>
              <w:t>гаючих</w:t>
            </w:r>
          </w:p>
        </w:tc>
        <w:tc>
          <w:tcPr>
            <w:tcW w:w="1178" w:type="pct"/>
            <w:shd w:val="clear" w:color="auto" w:fill="auto"/>
            <w:vAlign w:val="bottom"/>
          </w:tcPr>
          <w:p w:rsidR="00D951A1" w:rsidRPr="0054394A" w:rsidRDefault="00D951A1" w:rsidP="00363F68">
            <w:pPr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1435</w:t>
            </w:r>
          </w:p>
        </w:tc>
        <w:tc>
          <w:tcPr>
            <w:tcW w:w="1179" w:type="pct"/>
            <w:shd w:val="clear" w:color="auto" w:fill="auto"/>
            <w:vAlign w:val="bottom"/>
          </w:tcPr>
          <w:p w:rsidR="00D951A1" w:rsidRPr="0054394A" w:rsidRDefault="00D951A1" w:rsidP="00363F68">
            <w:pPr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</w:tr>
      <w:tr w:rsidR="00D951A1" w:rsidRPr="0054394A" w:rsidTr="00363F68">
        <w:trPr>
          <w:trHeight w:val="20"/>
          <w:jc w:val="center"/>
        </w:trPr>
        <w:tc>
          <w:tcPr>
            <w:tcW w:w="2643" w:type="pct"/>
            <w:shd w:val="clear" w:color="auto" w:fill="auto"/>
          </w:tcPr>
          <w:p w:rsidR="00D951A1" w:rsidRPr="0054394A" w:rsidRDefault="00D951A1" w:rsidP="00B44A3C">
            <w:pPr>
              <w:ind w:left="142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нових видів матері</w:t>
            </w:r>
            <w:r w:rsidRPr="0054394A">
              <w:rPr>
                <w:sz w:val="24"/>
                <w:szCs w:val="24"/>
              </w:rPr>
              <w:t>а</w:t>
            </w:r>
            <w:r w:rsidRPr="0054394A">
              <w:rPr>
                <w:sz w:val="24"/>
                <w:szCs w:val="24"/>
              </w:rPr>
              <w:t>лів</w:t>
            </w:r>
          </w:p>
        </w:tc>
        <w:tc>
          <w:tcPr>
            <w:tcW w:w="1178" w:type="pct"/>
            <w:shd w:val="clear" w:color="auto" w:fill="auto"/>
          </w:tcPr>
          <w:p w:rsidR="00D951A1" w:rsidRPr="0054394A" w:rsidRDefault="00D951A1" w:rsidP="00363F68">
            <w:pPr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</w:t>
            </w:r>
          </w:p>
        </w:tc>
        <w:tc>
          <w:tcPr>
            <w:tcW w:w="1179" w:type="pct"/>
            <w:shd w:val="clear" w:color="auto" w:fill="auto"/>
          </w:tcPr>
          <w:p w:rsidR="00D951A1" w:rsidRPr="0054394A" w:rsidRDefault="00D951A1" w:rsidP="00363F68">
            <w:pPr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</w:t>
            </w:r>
          </w:p>
        </w:tc>
      </w:tr>
      <w:tr w:rsidR="00D951A1" w:rsidRPr="0054394A" w:rsidTr="00363F68">
        <w:trPr>
          <w:trHeight w:val="20"/>
          <w:jc w:val="center"/>
        </w:trPr>
        <w:tc>
          <w:tcPr>
            <w:tcW w:w="2643" w:type="pct"/>
            <w:shd w:val="clear" w:color="auto" w:fill="auto"/>
            <w:vAlign w:val="bottom"/>
          </w:tcPr>
          <w:p w:rsidR="00D951A1" w:rsidRPr="0054394A" w:rsidRDefault="00D951A1" w:rsidP="00363F68">
            <w:pPr>
              <w:ind w:left="142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нових сортів рослин, порід тв</w:t>
            </w:r>
            <w:r w:rsidRPr="0054394A">
              <w:rPr>
                <w:sz w:val="24"/>
                <w:szCs w:val="24"/>
              </w:rPr>
              <w:t>а</w:t>
            </w:r>
            <w:r w:rsidRPr="0054394A">
              <w:rPr>
                <w:sz w:val="24"/>
                <w:szCs w:val="24"/>
              </w:rPr>
              <w:t>рин</w:t>
            </w:r>
          </w:p>
        </w:tc>
        <w:tc>
          <w:tcPr>
            <w:tcW w:w="1178" w:type="pct"/>
            <w:shd w:val="clear" w:color="auto" w:fill="auto"/>
            <w:vAlign w:val="bottom"/>
          </w:tcPr>
          <w:p w:rsidR="00D951A1" w:rsidRPr="0054394A" w:rsidRDefault="00D951A1" w:rsidP="00363F68">
            <w:pPr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2165</w:t>
            </w:r>
          </w:p>
        </w:tc>
        <w:tc>
          <w:tcPr>
            <w:tcW w:w="1179" w:type="pct"/>
            <w:shd w:val="clear" w:color="auto" w:fill="auto"/>
            <w:vAlign w:val="bottom"/>
          </w:tcPr>
          <w:p w:rsidR="00D951A1" w:rsidRPr="0054394A" w:rsidRDefault="00D951A1" w:rsidP="00363F68">
            <w:pPr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1848</w:t>
            </w:r>
          </w:p>
        </w:tc>
      </w:tr>
      <w:tr w:rsidR="00D951A1" w:rsidRPr="0054394A" w:rsidTr="00363F68">
        <w:trPr>
          <w:trHeight w:val="20"/>
          <w:jc w:val="center"/>
        </w:trPr>
        <w:tc>
          <w:tcPr>
            <w:tcW w:w="2643" w:type="pct"/>
            <w:tcBorders>
              <w:bottom w:val="nil"/>
            </w:tcBorders>
            <w:shd w:val="clear" w:color="auto" w:fill="auto"/>
          </w:tcPr>
          <w:p w:rsidR="00D951A1" w:rsidRPr="0054394A" w:rsidRDefault="00D951A1" w:rsidP="00B44A3C">
            <w:pPr>
              <w:ind w:left="142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нових методів, те</w:t>
            </w:r>
            <w:r w:rsidRPr="0054394A">
              <w:rPr>
                <w:sz w:val="24"/>
                <w:szCs w:val="24"/>
              </w:rPr>
              <w:t>о</w:t>
            </w:r>
            <w:r w:rsidRPr="0054394A">
              <w:rPr>
                <w:sz w:val="24"/>
                <w:szCs w:val="24"/>
              </w:rPr>
              <w:t>рій</w:t>
            </w:r>
          </w:p>
        </w:tc>
        <w:tc>
          <w:tcPr>
            <w:tcW w:w="1178" w:type="pct"/>
            <w:tcBorders>
              <w:bottom w:val="nil"/>
            </w:tcBorders>
            <w:shd w:val="clear" w:color="auto" w:fill="auto"/>
          </w:tcPr>
          <w:p w:rsidR="00D951A1" w:rsidRPr="0054394A" w:rsidRDefault="00D951A1" w:rsidP="00363F68">
            <w:pPr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7462</w:t>
            </w:r>
          </w:p>
        </w:tc>
        <w:tc>
          <w:tcPr>
            <w:tcW w:w="1179" w:type="pct"/>
            <w:tcBorders>
              <w:bottom w:val="nil"/>
            </w:tcBorders>
            <w:shd w:val="clear" w:color="auto" w:fill="auto"/>
          </w:tcPr>
          <w:p w:rsidR="00D951A1" w:rsidRPr="0054394A" w:rsidRDefault="00D951A1" w:rsidP="00363F68">
            <w:pPr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4208</w:t>
            </w:r>
          </w:p>
        </w:tc>
      </w:tr>
      <w:tr w:rsidR="00D951A1" w:rsidRPr="0054394A" w:rsidTr="00363F68">
        <w:trPr>
          <w:trHeight w:val="20"/>
          <w:jc w:val="center"/>
        </w:trPr>
        <w:tc>
          <w:tcPr>
            <w:tcW w:w="264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951A1" w:rsidRPr="0054394A" w:rsidRDefault="00D951A1" w:rsidP="00B44A3C">
            <w:pPr>
              <w:ind w:left="142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 xml:space="preserve">інших </w:t>
            </w:r>
          </w:p>
        </w:tc>
        <w:tc>
          <w:tcPr>
            <w:tcW w:w="1178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D951A1" w:rsidRPr="0054394A" w:rsidRDefault="00D951A1" w:rsidP="00F26E8A">
            <w:pPr>
              <w:ind w:right="284"/>
              <w:jc w:val="right"/>
              <w:rPr>
                <w:sz w:val="24"/>
                <w:szCs w:val="24"/>
              </w:rPr>
            </w:pPr>
            <w:r w:rsidRPr="00F26E8A">
              <w:rPr>
                <w:sz w:val="24"/>
                <w:szCs w:val="24"/>
                <w:highlight w:val="yellow"/>
              </w:rPr>
              <w:t>24</w:t>
            </w:r>
            <w:r w:rsidR="00F26E8A" w:rsidRPr="00F26E8A">
              <w:rPr>
                <w:sz w:val="24"/>
                <w:szCs w:val="24"/>
                <w:highlight w:val="yellow"/>
              </w:rPr>
              <w:t>384</w:t>
            </w:r>
          </w:p>
        </w:tc>
        <w:tc>
          <w:tcPr>
            <w:tcW w:w="1179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D951A1" w:rsidRPr="0054394A" w:rsidRDefault="00D951A1" w:rsidP="00363F68">
            <w:pPr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18691</w:t>
            </w:r>
          </w:p>
        </w:tc>
      </w:tr>
    </w:tbl>
    <w:p w:rsidR="00D951A1" w:rsidRDefault="00D951A1" w:rsidP="000B5BC7">
      <w:pPr>
        <w:pStyle w:val="a4"/>
        <w:widowControl w:val="0"/>
        <w:ind w:firstLine="709"/>
      </w:pPr>
    </w:p>
    <w:p w:rsidR="000B5BC7" w:rsidRPr="00DA51B6" w:rsidRDefault="000B5BC7" w:rsidP="000B5BC7">
      <w:pPr>
        <w:pStyle w:val="a4"/>
        <w:widowControl w:val="0"/>
        <w:ind w:firstLine="709"/>
      </w:pPr>
      <w:r w:rsidRPr="00DA51B6">
        <w:t>Кількість робіт, що виконувались науковими організаціями України протягом 201</w:t>
      </w:r>
      <w:r w:rsidR="002A28DB">
        <w:t>4</w:t>
      </w:r>
      <w:r w:rsidRPr="00DA51B6">
        <w:t>р.</w:t>
      </w:r>
      <w:r w:rsidR="00224A8B">
        <w:t>,</w:t>
      </w:r>
      <w:r w:rsidRPr="00DA51B6">
        <w:t xml:space="preserve"> становила </w:t>
      </w:r>
      <w:r w:rsidR="002A28DB" w:rsidRPr="00F26E8A">
        <w:rPr>
          <w:highlight w:val="yellow"/>
        </w:rPr>
        <w:t>43,</w:t>
      </w:r>
      <w:r w:rsidR="00F26E8A" w:rsidRPr="00F26E8A">
        <w:rPr>
          <w:highlight w:val="yellow"/>
        </w:rPr>
        <w:t>0</w:t>
      </w:r>
      <w:r w:rsidRPr="00DA51B6">
        <w:t xml:space="preserve"> тис., з яких</w:t>
      </w:r>
      <w:r w:rsidR="007B7D9F" w:rsidRPr="00DA51B6">
        <w:t xml:space="preserve"> </w:t>
      </w:r>
      <w:r w:rsidR="00DF5249">
        <w:t>більше</w:t>
      </w:r>
      <w:r w:rsidRPr="00DA51B6">
        <w:t xml:space="preserve"> дв</w:t>
      </w:r>
      <w:r w:rsidR="00DF5249">
        <w:t>ох</w:t>
      </w:r>
      <w:r w:rsidRPr="00DA51B6">
        <w:t xml:space="preserve"> третин упроваджено у виробництво або мали інші форми широкого застосування. Із загальної кількості робіт </w:t>
      </w:r>
      <w:r w:rsidR="00E334B6">
        <w:t>1</w:t>
      </w:r>
      <w:r w:rsidR="00DF5249">
        <w:t>0</w:t>
      </w:r>
      <w:r w:rsidR="00E334B6">
        <w:t>,8</w:t>
      </w:r>
      <w:r w:rsidR="0010523E">
        <w:t>%</w:t>
      </w:r>
      <w:r w:rsidRPr="00DA51B6">
        <w:t xml:space="preserve"> спрямовано на створення нових видів виробів, </w:t>
      </w:r>
      <w:r w:rsidR="00243372">
        <w:t>3</w:t>
      </w:r>
      <w:r w:rsidR="00DF5249">
        <w:t>8</w:t>
      </w:r>
      <w:r w:rsidR="00243372">
        <w:t>,8%</w:t>
      </w:r>
      <w:r w:rsidR="000E5393">
        <w:t xml:space="preserve"> </w:t>
      </w:r>
      <w:r w:rsidR="00D85B5E">
        <w:t xml:space="preserve"> </w:t>
      </w:r>
      <w:r w:rsidR="00170DAB" w:rsidRPr="00DA51B6">
        <w:t xml:space="preserve">яких </w:t>
      </w:r>
      <w:r w:rsidRPr="00DA51B6">
        <w:t>–</w:t>
      </w:r>
      <w:r w:rsidR="00170DAB" w:rsidRPr="00DA51B6">
        <w:t xml:space="preserve"> нові види техніки;</w:t>
      </w:r>
      <w:r w:rsidRPr="00DA51B6">
        <w:t xml:space="preserve"> </w:t>
      </w:r>
      <w:r w:rsidR="00DF5249">
        <w:t>7</w:t>
      </w:r>
      <w:r w:rsidR="00243372">
        <w:t>,5</w:t>
      </w:r>
      <w:r w:rsidR="0010523E">
        <w:t>%</w:t>
      </w:r>
      <w:r w:rsidRPr="00DA51B6">
        <w:t xml:space="preserve"> – на створе</w:t>
      </w:r>
      <w:r w:rsidRPr="00DA51B6">
        <w:t>н</w:t>
      </w:r>
      <w:r w:rsidR="00170DAB" w:rsidRPr="00DA51B6">
        <w:t>ня нових технологій,</w:t>
      </w:r>
      <w:r w:rsidRPr="00DA51B6">
        <w:t xml:space="preserve"> </w:t>
      </w:r>
      <w:r w:rsidR="00243372">
        <w:t>44,</w:t>
      </w:r>
      <w:r w:rsidR="00DF5249">
        <w:t>6</w:t>
      </w:r>
      <w:r w:rsidR="0010523E">
        <w:t>%</w:t>
      </w:r>
      <w:r w:rsidRPr="00DA51B6">
        <w:t xml:space="preserve"> яких –</w:t>
      </w:r>
      <w:r w:rsidR="00170DAB" w:rsidRPr="00DA51B6">
        <w:t xml:space="preserve"> ресурсозберігаючі;</w:t>
      </w:r>
      <w:r w:rsidRPr="00DA51B6">
        <w:t xml:space="preserve"> </w:t>
      </w:r>
      <w:r w:rsidR="000E5393">
        <w:t>2,5</w:t>
      </w:r>
      <w:r w:rsidR="0010523E">
        <w:t>%</w:t>
      </w:r>
      <w:r w:rsidRPr="00DA51B6">
        <w:t xml:space="preserve"> – на створення нових видів матеріалів</w:t>
      </w:r>
      <w:r w:rsidR="00170DAB" w:rsidRPr="00DA51B6">
        <w:t>;</w:t>
      </w:r>
      <w:r w:rsidRPr="00DA51B6">
        <w:t xml:space="preserve"> </w:t>
      </w:r>
      <w:r w:rsidR="00DF5249">
        <w:t>5,0</w:t>
      </w:r>
      <w:r w:rsidR="0010523E">
        <w:t>%</w:t>
      </w:r>
      <w:r w:rsidRPr="00DA51B6">
        <w:t xml:space="preserve"> – нових сортів рослин, порід тварин, а також </w:t>
      </w:r>
      <w:r w:rsidR="00243372">
        <w:t>1</w:t>
      </w:r>
      <w:r w:rsidR="00DF5249">
        <w:t>7</w:t>
      </w:r>
      <w:r w:rsidR="00243372">
        <w:t>,</w:t>
      </w:r>
      <w:r w:rsidR="00DF5249">
        <w:t>3</w:t>
      </w:r>
      <w:r w:rsidR="0010523E">
        <w:t>%</w:t>
      </w:r>
      <w:r w:rsidRPr="00DA51B6">
        <w:t xml:space="preserve"> – зі створення нових методів і теорій, </w:t>
      </w:r>
      <w:r w:rsidR="00DF5249">
        <w:t>більше</w:t>
      </w:r>
      <w:r w:rsidR="00BA5F88">
        <w:t xml:space="preserve"> половин</w:t>
      </w:r>
      <w:r w:rsidR="00DF5249">
        <w:t>и</w:t>
      </w:r>
      <w:r w:rsidRPr="00DA51B6">
        <w:t xml:space="preserve"> яких були використані у подальшій роботі. </w:t>
      </w:r>
      <w:r w:rsidRPr="00F72D42">
        <w:t>У розрахунку на 1000</w:t>
      </w:r>
      <w:r w:rsidRPr="00DA51B6">
        <w:t xml:space="preserve"> працівників сере</w:t>
      </w:r>
      <w:r w:rsidRPr="00DA51B6">
        <w:t>д</w:t>
      </w:r>
      <w:r w:rsidRPr="00DA51B6">
        <w:t xml:space="preserve">ньооблікової кількості виконавців наукових досліджень і розробок </w:t>
      </w:r>
      <w:r w:rsidR="00170DAB" w:rsidRPr="00DA51B6">
        <w:t>загал</w:t>
      </w:r>
      <w:r w:rsidR="00170DAB" w:rsidRPr="00DA51B6">
        <w:t>ь</w:t>
      </w:r>
      <w:r w:rsidR="00170DAB" w:rsidRPr="00DA51B6">
        <w:t xml:space="preserve">на </w:t>
      </w:r>
      <w:r w:rsidRPr="00DA51B6">
        <w:t>кількість виконуваних протягом звітного року наукових робіт ст</w:t>
      </w:r>
      <w:r w:rsidRPr="00DA51B6">
        <w:t>а</w:t>
      </w:r>
      <w:r w:rsidRPr="00DA51B6">
        <w:t xml:space="preserve">новила </w:t>
      </w:r>
      <w:r w:rsidR="00A83923" w:rsidRPr="00F26E8A">
        <w:rPr>
          <w:highlight w:val="yellow"/>
        </w:rPr>
        <w:t>45</w:t>
      </w:r>
      <w:r w:rsidR="00F26E8A" w:rsidRPr="00F26E8A">
        <w:rPr>
          <w:highlight w:val="yellow"/>
        </w:rPr>
        <w:t>0</w:t>
      </w:r>
      <w:r w:rsidR="00A83923">
        <w:t xml:space="preserve"> од</w:t>
      </w:r>
      <w:r w:rsidRPr="00DA51B6">
        <w:t>.</w:t>
      </w:r>
      <w:r w:rsidR="00177000" w:rsidRPr="00DA51B6">
        <w:t xml:space="preserve"> </w:t>
      </w:r>
    </w:p>
    <w:p w:rsidR="000B5BC7" w:rsidRPr="00DA51B6" w:rsidRDefault="00D85B5E" w:rsidP="00982999">
      <w:pPr>
        <w:pStyle w:val="22"/>
        <w:widowControl w:val="0"/>
        <w:ind w:firstLine="709"/>
      </w:pPr>
      <w:r>
        <w:t>К</w:t>
      </w:r>
      <w:r w:rsidR="000B5BC7" w:rsidRPr="00DA51B6">
        <w:t xml:space="preserve">ількість друкованих </w:t>
      </w:r>
      <w:r w:rsidR="00032A9D" w:rsidRPr="00DA51B6">
        <w:t>роб</w:t>
      </w:r>
      <w:r w:rsidR="00032A9D">
        <w:t>і</w:t>
      </w:r>
      <w:r w:rsidR="00032A9D" w:rsidRPr="00DA51B6">
        <w:t>т</w:t>
      </w:r>
      <w:r>
        <w:t xml:space="preserve"> </w:t>
      </w:r>
      <w:r w:rsidR="002C70A6">
        <w:t xml:space="preserve">(публікацій), </w:t>
      </w:r>
      <w:r>
        <w:t>підготовлених виконавцями наукових досліджень і розробок</w:t>
      </w:r>
      <w:r w:rsidR="00224A8B">
        <w:t>,</w:t>
      </w:r>
      <w:r w:rsidR="00032A9D">
        <w:t xml:space="preserve"> </w:t>
      </w:r>
      <w:r w:rsidR="00E65A62">
        <w:t>у 2014р. становила 327,9</w:t>
      </w:r>
      <w:r w:rsidR="001056C4" w:rsidRPr="00DA51B6">
        <w:t xml:space="preserve"> тис. </w:t>
      </w:r>
      <w:r>
        <w:t>од</w:t>
      </w:r>
      <w:r w:rsidR="00E65A62">
        <w:t>,</w:t>
      </w:r>
      <w:r w:rsidR="007A60D1">
        <w:t xml:space="preserve"> </w:t>
      </w:r>
      <w:r w:rsidR="000B5BC7" w:rsidRPr="00DA51B6">
        <w:t xml:space="preserve">що </w:t>
      </w:r>
      <w:r w:rsidR="000F658B">
        <w:t>в</w:t>
      </w:r>
      <w:r w:rsidR="000B5BC7" w:rsidRPr="00DA51B6">
        <w:t xml:space="preserve"> розрахунку на 1000 працівників середньооблікової кіл</w:t>
      </w:r>
      <w:r w:rsidR="000B5BC7" w:rsidRPr="00DA51B6">
        <w:t>ь</w:t>
      </w:r>
      <w:r w:rsidR="000B5BC7" w:rsidRPr="00DA51B6">
        <w:t xml:space="preserve">кості виконавців наукових досліджень і розробок становить </w:t>
      </w:r>
      <w:r w:rsidR="001056C4">
        <w:t>3</w:t>
      </w:r>
      <w:r w:rsidR="00E65A62">
        <w:t>439</w:t>
      </w:r>
      <w:r w:rsidR="001056C4">
        <w:t xml:space="preserve"> </w:t>
      </w:r>
      <w:r w:rsidR="00C9540C" w:rsidRPr="00DA51B6">
        <w:t>друков</w:t>
      </w:r>
      <w:r w:rsidR="00C9540C" w:rsidRPr="00DA51B6">
        <w:t>а</w:t>
      </w:r>
      <w:r w:rsidR="00C9540C" w:rsidRPr="00DA51B6">
        <w:t>н</w:t>
      </w:r>
      <w:r w:rsidR="001056C4">
        <w:t>их</w:t>
      </w:r>
      <w:r w:rsidR="00C9540C" w:rsidRPr="00DA51B6">
        <w:t xml:space="preserve"> роб</w:t>
      </w:r>
      <w:r w:rsidR="001056C4">
        <w:t>і</w:t>
      </w:r>
      <w:r w:rsidR="00C9540C" w:rsidRPr="00DA51B6">
        <w:t>т</w:t>
      </w:r>
      <w:r w:rsidR="007F6F93">
        <w:t>.</w:t>
      </w:r>
      <w:r w:rsidR="000B5BC7" w:rsidRPr="00DA51B6">
        <w:t xml:space="preserve"> Із загальної кількості друкованих робіт </w:t>
      </w:r>
      <w:r w:rsidR="00E65A62">
        <w:t>6,6</w:t>
      </w:r>
      <w:r w:rsidR="000B5BC7" w:rsidRPr="00DA51B6">
        <w:t xml:space="preserve"> тис. – окремі монографії, </w:t>
      </w:r>
      <w:r w:rsidR="00C46536">
        <w:t>6</w:t>
      </w:r>
      <w:r w:rsidR="00E65A62">
        <w:t>37</w:t>
      </w:r>
      <w:r w:rsidR="000B5BC7" w:rsidRPr="00DA51B6">
        <w:t xml:space="preserve"> яких видано за корд</w:t>
      </w:r>
      <w:r w:rsidR="000B5BC7" w:rsidRPr="00DA51B6">
        <w:t>о</w:t>
      </w:r>
      <w:r w:rsidR="000B5BC7" w:rsidRPr="00DA51B6">
        <w:t xml:space="preserve">ном, </w:t>
      </w:r>
      <w:r w:rsidR="00E65A62">
        <w:t>179,7</w:t>
      </w:r>
      <w:r w:rsidR="000B5BC7" w:rsidRPr="00DA51B6">
        <w:t xml:space="preserve"> тис. </w:t>
      </w:r>
      <w:r w:rsidR="000F658B" w:rsidRPr="00DA51B6">
        <w:t xml:space="preserve">– </w:t>
      </w:r>
      <w:r w:rsidR="000B5BC7" w:rsidRPr="00DA51B6">
        <w:t>статті у фахових наукових журналах,</w:t>
      </w:r>
      <w:r w:rsidR="00C46536" w:rsidRPr="00DA51B6">
        <w:t xml:space="preserve"> </w:t>
      </w:r>
      <w:r w:rsidR="007A60D1">
        <w:t>3</w:t>
      </w:r>
      <w:r w:rsidR="00E65A62">
        <w:t>3,8</w:t>
      </w:r>
      <w:r w:rsidR="000B5BC7" w:rsidRPr="00DA51B6">
        <w:t xml:space="preserve"> тис. з яких надр</w:t>
      </w:r>
      <w:r w:rsidR="000B5BC7" w:rsidRPr="00DA51B6">
        <w:t>у</w:t>
      </w:r>
      <w:r w:rsidR="000B5BC7" w:rsidRPr="00DA51B6">
        <w:t xml:space="preserve">ковано </w:t>
      </w:r>
      <w:r w:rsidR="002468E1">
        <w:t>в</w:t>
      </w:r>
      <w:r w:rsidR="000B5BC7" w:rsidRPr="00DA51B6">
        <w:t xml:space="preserve"> журналах, що входять до міжнародних баз даних</w:t>
      </w:r>
      <w:r w:rsidR="002468E1">
        <w:t>,</w:t>
      </w:r>
      <w:r w:rsidR="000B5BC7" w:rsidRPr="00DA51B6">
        <w:t xml:space="preserve"> та </w:t>
      </w:r>
      <w:r w:rsidR="00C46536">
        <w:t>1</w:t>
      </w:r>
      <w:r w:rsidR="00E65A62">
        <w:t>5</w:t>
      </w:r>
      <w:r w:rsidR="00C46536">
        <w:t>,2</w:t>
      </w:r>
      <w:r w:rsidR="00032A9D">
        <w:t> </w:t>
      </w:r>
      <w:r w:rsidR="000B5BC7" w:rsidRPr="00DA51B6">
        <w:t xml:space="preserve">тис. </w:t>
      </w:r>
      <w:r w:rsidR="000F658B" w:rsidRPr="00DA51B6">
        <w:t xml:space="preserve">– </w:t>
      </w:r>
      <w:r w:rsidR="000B5BC7" w:rsidRPr="00DA51B6">
        <w:t>підручники та навчальні посі</w:t>
      </w:r>
      <w:r w:rsidR="000B5BC7" w:rsidRPr="00DA51B6">
        <w:t>б</w:t>
      </w:r>
      <w:r w:rsidR="000B5BC7" w:rsidRPr="00DA51B6">
        <w:t>ники.</w:t>
      </w:r>
    </w:p>
    <w:p w:rsidR="000B5BC7" w:rsidRDefault="006C2356" w:rsidP="000B5BC7">
      <w:pPr>
        <w:pStyle w:val="21"/>
        <w:widowControl w:val="0"/>
        <w:ind w:firstLine="709"/>
        <w:rPr>
          <w:u w:val="none"/>
        </w:rPr>
      </w:pPr>
      <w:r>
        <w:rPr>
          <w:u w:val="none"/>
        </w:rPr>
        <w:t xml:space="preserve">Упродовж </w:t>
      </w:r>
      <w:r w:rsidR="000B5BC7" w:rsidRPr="00DA51B6">
        <w:rPr>
          <w:u w:val="none"/>
        </w:rPr>
        <w:t>201</w:t>
      </w:r>
      <w:r w:rsidR="00786953">
        <w:rPr>
          <w:u w:val="none"/>
        </w:rPr>
        <w:t>4</w:t>
      </w:r>
      <w:r w:rsidR="000B5BC7" w:rsidRPr="00DA51B6">
        <w:rPr>
          <w:u w:val="none"/>
        </w:rPr>
        <w:t>р. в результаті діяльності наукових організацій до в</w:t>
      </w:r>
      <w:r w:rsidR="000B5BC7" w:rsidRPr="00DA51B6">
        <w:rPr>
          <w:u w:val="none"/>
        </w:rPr>
        <w:t>і</w:t>
      </w:r>
      <w:r w:rsidR="000B5BC7" w:rsidRPr="00DA51B6">
        <w:rPr>
          <w:u w:val="none"/>
        </w:rPr>
        <w:t xml:space="preserve">тчизняного патентного відомства було подано </w:t>
      </w:r>
      <w:r w:rsidR="00786953">
        <w:rPr>
          <w:u w:val="none"/>
        </w:rPr>
        <w:t>8029</w:t>
      </w:r>
      <w:r w:rsidR="007A60D1">
        <w:rPr>
          <w:u w:val="none"/>
        </w:rPr>
        <w:t xml:space="preserve"> </w:t>
      </w:r>
      <w:r w:rsidR="000B5BC7" w:rsidRPr="00DA51B6">
        <w:rPr>
          <w:u w:val="none"/>
        </w:rPr>
        <w:t>заяв</w:t>
      </w:r>
      <w:r w:rsidR="007A60D1">
        <w:rPr>
          <w:u w:val="none"/>
        </w:rPr>
        <w:t>о</w:t>
      </w:r>
      <w:r w:rsidR="000B5BC7" w:rsidRPr="00DA51B6">
        <w:rPr>
          <w:u w:val="none"/>
        </w:rPr>
        <w:t>к на видачу ох</w:t>
      </w:r>
      <w:r w:rsidR="000B5BC7" w:rsidRPr="00DA51B6">
        <w:rPr>
          <w:u w:val="none"/>
        </w:rPr>
        <w:t>о</w:t>
      </w:r>
      <w:r w:rsidR="000B5BC7" w:rsidRPr="00DA51B6">
        <w:rPr>
          <w:u w:val="none"/>
        </w:rPr>
        <w:t>ронних д</w:t>
      </w:r>
      <w:r w:rsidR="000B5BC7" w:rsidRPr="00DA51B6">
        <w:rPr>
          <w:u w:val="none"/>
        </w:rPr>
        <w:t>о</w:t>
      </w:r>
      <w:r w:rsidR="000B5BC7" w:rsidRPr="00DA51B6">
        <w:rPr>
          <w:u w:val="none"/>
        </w:rPr>
        <w:t>кументів на об’єкти права інтелектуальної власності (</w:t>
      </w:r>
      <w:r>
        <w:rPr>
          <w:u w:val="none"/>
        </w:rPr>
        <w:t xml:space="preserve">далі – </w:t>
      </w:r>
      <w:r w:rsidR="000B5BC7" w:rsidRPr="00DA51B6">
        <w:rPr>
          <w:u w:val="none"/>
        </w:rPr>
        <w:t>ОПІВ)</w:t>
      </w:r>
      <w:r w:rsidR="00941E21">
        <w:rPr>
          <w:u w:val="none"/>
        </w:rPr>
        <w:t xml:space="preserve">, </w:t>
      </w:r>
      <w:r w:rsidR="00941E21" w:rsidRPr="00DA51B6">
        <w:rPr>
          <w:u w:val="none"/>
        </w:rPr>
        <w:lastRenderedPageBreak/>
        <w:t>у т</w:t>
      </w:r>
      <w:r w:rsidR="00786953">
        <w:rPr>
          <w:u w:val="none"/>
        </w:rPr>
        <w:t>ому</w:t>
      </w:r>
      <w:r w:rsidR="00941E21" w:rsidRPr="00DA51B6">
        <w:rPr>
          <w:u w:val="none"/>
        </w:rPr>
        <w:t xml:space="preserve"> ч</w:t>
      </w:r>
      <w:r w:rsidR="00786953">
        <w:rPr>
          <w:u w:val="none"/>
        </w:rPr>
        <w:t>ислі</w:t>
      </w:r>
      <w:r w:rsidR="00941E21" w:rsidRPr="00DA51B6">
        <w:rPr>
          <w:u w:val="none"/>
        </w:rPr>
        <w:t xml:space="preserve"> </w:t>
      </w:r>
      <w:r w:rsidR="00B87BFA">
        <w:rPr>
          <w:u w:val="none"/>
        </w:rPr>
        <w:t xml:space="preserve">29,1% </w:t>
      </w:r>
      <w:r w:rsidR="00941E21" w:rsidRPr="00DA51B6">
        <w:rPr>
          <w:u w:val="none"/>
        </w:rPr>
        <w:t>–</w:t>
      </w:r>
      <w:r w:rsidR="00941E21" w:rsidRPr="00DA51B6">
        <w:rPr>
          <w:szCs w:val="28"/>
          <w:u w:val="none"/>
        </w:rPr>
        <w:t xml:space="preserve"> </w:t>
      </w:r>
      <w:r w:rsidR="00941E21" w:rsidRPr="00DA51B6">
        <w:rPr>
          <w:u w:val="none"/>
        </w:rPr>
        <w:t xml:space="preserve">на винаходи і </w:t>
      </w:r>
      <w:r w:rsidR="00941E21">
        <w:rPr>
          <w:u w:val="none"/>
        </w:rPr>
        <w:t>2</w:t>
      </w:r>
      <w:r w:rsidR="00B87BFA">
        <w:rPr>
          <w:u w:val="none"/>
        </w:rPr>
        <w:t>,8%</w:t>
      </w:r>
      <w:r w:rsidR="00941E21" w:rsidRPr="00DA51B6">
        <w:rPr>
          <w:u w:val="none"/>
        </w:rPr>
        <w:t xml:space="preserve"> – на сорти рослин.</w:t>
      </w:r>
      <w:r w:rsidR="000B5BC7" w:rsidRPr="00DA51B6">
        <w:rPr>
          <w:u w:val="none"/>
        </w:rPr>
        <w:t xml:space="preserve"> До патентних відомств інших країн було подано </w:t>
      </w:r>
      <w:r w:rsidR="00786953">
        <w:rPr>
          <w:u w:val="none"/>
        </w:rPr>
        <w:t>51</w:t>
      </w:r>
      <w:r w:rsidR="000B5BC7" w:rsidRPr="00DA51B6">
        <w:rPr>
          <w:u w:val="none"/>
        </w:rPr>
        <w:t xml:space="preserve"> заявк</w:t>
      </w:r>
      <w:r w:rsidR="00786953">
        <w:rPr>
          <w:u w:val="none"/>
        </w:rPr>
        <w:t>у</w:t>
      </w:r>
      <w:r w:rsidR="000B5BC7" w:rsidRPr="00DA51B6">
        <w:rPr>
          <w:u w:val="none"/>
        </w:rPr>
        <w:t>, у т</w:t>
      </w:r>
      <w:r w:rsidR="00786953">
        <w:rPr>
          <w:u w:val="none"/>
        </w:rPr>
        <w:t>ому</w:t>
      </w:r>
      <w:r w:rsidR="000B5BC7" w:rsidRPr="00DA51B6">
        <w:rPr>
          <w:u w:val="none"/>
        </w:rPr>
        <w:t xml:space="preserve"> ч</w:t>
      </w:r>
      <w:r w:rsidR="00786953">
        <w:rPr>
          <w:u w:val="none"/>
        </w:rPr>
        <w:t>ислі</w:t>
      </w:r>
      <w:r w:rsidR="000B5BC7" w:rsidRPr="00DA51B6">
        <w:rPr>
          <w:u w:val="none"/>
        </w:rPr>
        <w:t xml:space="preserve"> </w:t>
      </w:r>
      <w:r w:rsidR="00B87BFA">
        <w:rPr>
          <w:u w:val="none"/>
        </w:rPr>
        <w:t xml:space="preserve">54,9% </w:t>
      </w:r>
      <w:r w:rsidR="000B5BC7" w:rsidRPr="00DA51B6">
        <w:rPr>
          <w:u w:val="none"/>
        </w:rPr>
        <w:t>–</w:t>
      </w:r>
      <w:r w:rsidR="000B5BC7" w:rsidRPr="00DA51B6">
        <w:rPr>
          <w:szCs w:val="28"/>
          <w:u w:val="none"/>
        </w:rPr>
        <w:t xml:space="preserve"> </w:t>
      </w:r>
      <w:r w:rsidR="000B5BC7" w:rsidRPr="00DA51B6">
        <w:rPr>
          <w:u w:val="none"/>
        </w:rPr>
        <w:t>на винах</w:t>
      </w:r>
      <w:bookmarkStart w:id="0" w:name="OLE_LINK2"/>
      <w:bookmarkStart w:id="1" w:name="OLE_LINK3"/>
      <w:r w:rsidR="000B5BC7" w:rsidRPr="00DA51B6">
        <w:rPr>
          <w:u w:val="none"/>
        </w:rPr>
        <w:t>о</w:t>
      </w:r>
      <w:bookmarkEnd w:id="0"/>
      <w:bookmarkEnd w:id="1"/>
      <w:r w:rsidR="000B5BC7" w:rsidRPr="00DA51B6">
        <w:rPr>
          <w:u w:val="none"/>
        </w:rPr>
        <w:t xml:space="preserve">ди і </w:t>
      </w:r>
      <w:r>
        <w:rPr>
          <w:u w:val="none"/>
        </w:rPr>
        <w:t xml:space="preserve"> </w:t>
      </w:r>
      <w:r w:rsidR="00B87BFA">
        <w:rPr>
          <w:u w:val="none"/>
        </w:rPr>
        <w:t>21,6%</w:t>
      </w:r>
      <w:r w:rsidR="000B5BC7" w:rsidRPr="00DA51B6">
        <w:rPr>
          <w:u w:val="none"/>
        </w:rPr>
        <w:t xml:space="preserve"> – на сорти рослин. У цей же період ними отримано </w:t>
      </w:r>
      <w:r w:rsidR="00786953">
        <w:rPr>
          <w:u w:val="none"/>
        </w:rPr>
        <w:t>7864</w:t>
      </w:r>
      <w:r w:rsidR="000B5BC7" w:rsidRPr="00DA51B6">
        <w:rPr>
          <w:u w:val="none"/>
        </w:rPr>
        <w:t xml:space="preserve"> охоро</w:t>
      </w:r>
      <w:r w:rsidR="000B5BC7" w:rsidRPr="00DA51B6">
        <w:rPr>
          <w:u w:val="none"/>
        </w:rPr>
        <w:t>н</w:t>
      </w:r>
      <w:r w:rsidR="000B5BC7" w:rsidRPr="00DA51B6">
        <w:rPr>
          <w:u w:val="none"/>
        </w:rPr>
        <w:t>н</w:t>
      </w:r>
      <w:r w:rsidR="00786953">
        <w:rPr>
          <w:u w:val="none"/>
        </w:rPr>
        <w:t>і</w:t>
      </w:r>
      <w:r w:rsidR="000B5BC7" w:rsidRPr="00DA51B6">
        <w:rPr>
          <w:u w:val="none"/>
        </w:rPr>
        <w:t xml:space="preserve"> документ</w:t>
      </w:r>
      <w:r w:rsidR="00786953">
        <w:rPr>
          <w:u w:val="none"/>
        </w:rPr>
        <w:t>и</w:t>
      </w:r>
      <w:r w:rsidR="000B5BC7" w:rsidRPr="00DA51B6">
        <w:rPr>
          <w:u w:val="none"/>
        </w:rPr>
        <w:t xml:space="preserve"> України, в інших країнах – </w:t>
      </w:r>
      <w:r w:rsidR="00786953">
        <w:rPr>
          <w:u w:val="none"/>
        </w:rPr>
        <w:t>62</w:t>
      </w:r>
      <w:r w:rsidR="000B5BC7" w:rsidRPr="00DA51B6">
        <w:rPr>
          <w:u w:val="none"/>
        </w:rPr>
        <w:t>. Серед отриманих охоро</w:t>
      </w:r>
      <w:r w:rsidR="000B5BC7" w:rsidRPr="00DA51B6">
        <w:rPr>
          <w:u w:val="none"/>
        </w:rPr>
        <w:t>н</w:t>
      </w:r>
      <w:r w:rsidR="000B5BC7" w:rsidRPr="00DA51B6">
        <w:rPr>
          <w:u w:val="none"/>
        </w:rPr>
        <w:t xml:space="preserve">них документів на ОПІВ </w:t>
      </w:r>
      <w:r w:rsidR="00B87BFA">
        <w:rPr>
          <w:u w:val="none"/>
        </w:rPr>
        <w:t>28</w:t>
      </w:r>
      <w:r w:rsidR="002468E1">
        <w:rPr>
          <w:u w:val="none"/>
        </w:rPr>
        <w:t>,</w:t>
      </w:r>
      <w:r w:rsidR="00B87BFA">
        <w:rPr>
          <w:u w:val="none"/>
        </w:rPr>
        <w:t>5</w:t>
      </w:r>
      <w:r w:rsidR="0010523E">
        <w:rPr>
          <w:u w:val="none"/>
        </w:rPr>
        <w:t>%</w:t>
      </w:r>
      <w:r w:rsidR="000B5BC7" w:rsidRPr="00DA51B6">
        <w:rPr>
          <w:u w:val="none"/>
        </w:rPr>
        <w:t xml:space="preserve"> – патенти на винаходи і </w:t>
      </w:r>
      <w:r w:rsidR="002468E1">
        <w:rPr>
          <w:u w:val="none"/>
        </w:rPr>
        <w:t>5</w:t>
      </w:r>
      <w:r w:rsidR="00B87BFA">
        <w:rPr>
          <w:u w:val="none"/>
        </w:rPr>
        <w:t>,0</w:t>
      </w:r>
      <w:r w:rsidR="0010523E">
        <w:rPr>
          <w:u w:val="none"/>
        </w:rPr>
        <w:t>%</w:t>
      </w:r>
      <w:r w:rsidR="000B5BC7" w:rsidRPr="00DA51B6">
        <w:rPr>
          <w:u w:val="none"/>
        </w:rPr>
        <w:t xml:space="preserve"> – на сорти рослин.</w:t>
      </w:r>
    </w:p>
    <w:p w:rsidR="004E13CC" w:rsidRPr="00DA51B6" w:rsidRDefault="004E13CC" w:rsidP="000B5BC7">
      <w:pPr>
        <w:pStyle w:val="21"/>
        <w:widowControl w:val="0"/>
        <w:ind w:firstLine="709"/>
        <w:rPr>
          <w:u w:val="none"/>
        </w:rPr>
      </w:pPr>
    </w:p>
    <w:p w:rsidR="000B5BC7" w:rsidRDefault="006C2356" w:rsidP="004E13CC">
      <w:pPr>
        <w:pStyle w:val="21"/>
        <w:widowControl w:val="0"/>
        <w:ind w:firstLine="0"/>
        <w:jc w:val="center"/>
        <w:rPr>
          <w:b/>
          <w:szCs w:val="28"/>
          <w:u w:val="none"/>
        </w:rPr>
      </w:pPr>
      <w:r>
        <w:rPr>
          <w:b/>
          <w:szCs w:val="28"/>
          <w:u w:val="none"/>
        </w:rPr>
        <w:t xml:space="preserve">Винахідницька діяльність </w:t>
      </w:r>
      <w:r w:rsidR="000B5BC7" w:rsidRPr="00DA51B6">
        <w:rPr>
          <w:b/>
          <w:szCs w:val="28"/>
          <w:u w:val="none"/>
        </w:rPr>
        <w:t>наукових організ</w:t>
      </w:r>
      <w:r w:rsidR="000B5BC7" w:rsidRPr="00DA51B6">
        <w:rPr>
          <w:b/>
          <w:szCs w:val="28"/>
          <w:u w:val="none"/>
        </w:rPr>
        <w:t>а</w:t>
      </w:r>
      <w:r w:rsidR="000B5BC7" w:rsidRPr="00DA51B6">
        <w:rPr>
          <w:b/>
          <w:szCs w:val="28"/>
          <w:u w:val="none"/>
        </w:rPr>
        <w:t xml:space="preserve">цій </w:t>
      </w:r>
    </w:p>
    <w:p w:rsidR="002F26A4" w:rsidRDefault="002F26A4" w:rsidP="00673C6D">
      <w:pPr>
        <w:pStyle w:val="21"/>
        <w:widowControl w:val="0"/>
        <w:ind w:firstLine="0"/>
        <w:jc w:val="right"/>
        <w:rPr>
          <w:sz w:val="24"/>
          <w:szCs w:val="26"/>
          <w:u w:val="none"/>
        </w:rPr>
      </w:pPr>
    </w:p>
    <w:p w:rsidR="004E13CC" w:rsidRPr="00B87BFA" w:rsidRDefault="00673C6D" w:rsidP="00673C6D">
      <w:pPr>
        <w:pStyle w:val="21"/>
        <w:widowControl w:val="0"/>
        <w:ind w:firstLine="0"/>
        <w:jc w:val="right"/>
        <w:rPr>
          <w:b/>
          <w:sz w:val="24"/>
          <w:szCs w:val="26"/>
          <w:u w:val="none"/>
        </w:rPr>
      </w:pPr>
      <w:r w:rsidRPr="00B87BFA">
        <w:rPr>
          <w:sz w:val="24"/>
          <w:szCs w:val="26"/>
          <w:u w:val="none"/>
        </w:rPr>
        <w:t>(од)</w:t>
      </w:r>
    </w:p>
    <w:tbl>
      <w:tblPr>
        <w:tblW w:w="4866" w:type="pct"/>
        <w:jc w:val="center"/>
        <w:tblBorders>
          <w:top w:val="single" w:sz="12" w:space="0" w:color="008000"/>
          <w:bottom w:val="single" w:sz="12" w:space="0" w:color="008000"/>
        </w:tblBorders>
        <w:tblLook w:val="0000" w:firstRow="0" w:lastRow="0" w:firstColumn="0" w:lastColumn="0" w:noHBand="0" w:noVBand="0"/>
      </w:tblPr>
      <w:tblGrid>
        <w:gridCol w:w="5547"/>
        <w:gridCol w:w="1917"/>
        <w:gridCol w:w="1917"/>
      </w:tblGrid>
      <w:tr w:rsidR="00B87BFA" w:rsidRPr="0054394A" w:rsidTr="00B87BFA">
        <w:trPr>
          <w:trHeight w:val="20"/>
          <w:jc w:val="center"/>
        </w:trPr>
        <w:tc>
          <w:tcPr>
            <w:tcW w:w="295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87BFA" w:rsidRPr="0054394A" w:rsidRDefault="00B87BFA" w:rsidP="0054394A">
            <w:pPr>
              <w:pStyle w:val="a7"/>
              <w:tabs>
                <w:tab w:val="clear" w:pos="4153"/>
                <w:tab w:val="clear" w:pos="8306"/>
              </w:tabs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BFA" w:rsidRPr="0054394A" w:rsidRDefault="00B87BFA" w:rsidP="0054394A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В Укра</w:t>
            </w:r>
            <w:r w:rsidRPr="0054394A">
              <w:rPr>
                <w:sz w:val="24"/>
                <w:szCs w:val="24"/>
              </w:rPr>
              <w:t>ї</w:t>
            </w:r>
            <w:r w:rsidRPr="0054394A">
              <w:rPr>
                <w:sz w:val="24"/>
                <w:szCs w:val="24"/>
              </w:rPr>
              <w:t>ні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87BFA" w:rsidRPr="0054394A" w:rsidRDefault="00B87BFA" w:rsidP="0054394A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В інших</w:t>
            </w:r>
          </w:p>
          <w:p w:rsidR="00B87BFA" w:rsidRPr="0054394A" w:rsidRDefault="00B87BFA" w:rsidP="0054394A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країнах св</w:t>
            </w:r>
            <w:r w:rsidRPr="0054394A">
              <w:rPr>
                <w:sz w:val="24"/>
                <w:szCs w:val="24"/>
              </w:rPr>
              <w:t>і</w:t>
            </w:r>
            <w:r w:rsidRPr="0054394A">
              <w:rPr>
                <w:sz w:val="24"/>
                <w:szCs w:val="24"/>
              </w:rPr>
              <w:t>ту</w:t>
            </w:r>
          </w:p>
        </w:tc>
      </w:tr>
      <w:tr w:rsidR="00B87BFA" w:rsidRPr="0054394A" w:rsidTr="00B87BFA">
        <w:trPr>
          <w:trHeight w:val="20"/>
          <w:jc w:val="center"/>
        </w:trPr>
        <w:tc>
          <w:tcPr>
            <w:tcW w:w="295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7BFA" w:rsidRPr="0054394A" w:rsidRDefault="00B87BFA" w:rsidP="0054394A">
            <w:pPr>
              <w:ind w:right="-57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Кількість поданих заявок на видачу охоронних докум</w:t>
            </w:r>
            <w:r w:rsidRPr="0054394A">
              <w:rPr>
                <w:sz w:val="24"/>
                <w:szCs w:val="24"/>
              </w:rPr>
              <w:t>е</w:t>
            </w:r>
            <w:r w:rsidRPr="0054394A">
              <w:rPr>
                <w:sz w:val="24"/>
                <w:szCs w:val="24"/>
              </w:rPr>
              <w:t>нтів</w:t>
            </w:r>
          </w:p>
        </w:tc>
        <w:tc>
          <w:tcPr>
            <w:tcW w:w="102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7BFA" w:rsidRPr="0054394A" w:rsidRDefault="00B87BFA" w:rsidP="005439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8029</w:t>
            </w:r>
          </w:p>
        </w:tc>
        <w:tc>
          <w:tcPr>
            <w:tcW w:w="102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7BFA" w:rsidRPr="0054394A" w:rsidRDefault="00FF74A5" w:rsidP="005439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  <w:tr w:rsidR="00B87BFA" w:rsidRPr="0054394A" w:rsidTr="00B87BFA">
        <w:trPr>
          <w:trHeight w:val="20"/>
          <w:jc w:val="center"/>
        </w:trPr>
        <w:tc>
          <w:tcPr>
            <w:tcW w:w="2956" w:type="pct"/>
            <w:shd w:val="clear" w:color="auto" w:fill="auto"/>
            <w:vAlign w:val="center"/>
          </w:tcPr>
          <w:p w:rsidR="00B87BFA" w:rsidRPr="0054394A" w:rsidRDefault="00B87BFA" w:rsidP="0054394A">
            <w:pPr>
              <w:ind w:left="142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з них</w:t>
            </w:r>
          </w:p>
        </w:tc>
        <w:tc>
          <w:tcPr>
            <w:tcW w:w="1022" w:type="pct"/>
            <w:shd w:val="clear" w:color="auto" w:fill="auto"/>
            <w:vAlign w:val="center"/>
          </w:tcPr>
          <w:p w:rsidR="00B87BFA" w:rsidRPr="0054394A" w:rsidRDefault="00B87BFA" w:rsidP="0054394A">
            <w:pPr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:rsidR="00B87BFA" w:rsidRPr="0054394A" w:rsidRDefault="00B87BFA" w:rsidP="0054394A">
            <w:pPr>
              <w:jc w:val="right"/>
              <w:rPr>
                <w:i/>
                <w:sz w:val="24"/>
                <w:szCs w:val="24"/>
              </w:rPr>
            </w:pPr>
          </w:p>
        </w:tc>
      </w:tr>
      <w:tr w:rsidR="00B87BFA" w:rsidRPr="0054394A" w:rsidTr="00B87BFA">
        <w:trPr>
          <w:trHeight w:val="20"/>
          <w:jc w:val="center"/>
        </w:trPr>
        <w:tc>
          <w:tcPr>
            <w:tcW w:w="2956" w:type="pct"/>
            <w:shd w:val="clear" w:color="auto" w:fill="auto"/>
          </w:tcPr>
          <w:p w:rsidR="00B87BFA" w:rsidRPr="0054394A" w:rsidRDefault="00B87BFA" w:rsidP="0054394A">
            <w:pPr>
              <w:ind w:left="142" w:right="-57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на винаходи</w:t>
            </w:r>
          </w:p>
        </w:tc>
        <w:tc>
          <w:tcPr>
            <w:tcW w:w="1022" w:type="pct"/>
            <w:shd w:val="clear" w:color="auto" w:fill="auto"/>
            <w:vAlign w:val="bottom"/>
          </w:tcPr>
          <w:p w:rsidR="00B87BFA" w:rsidRPr="0054394A" w:rsidRDefault="00B87BFA" w:rsidP="005439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2338</w:t>
            </w:r>
          </w:p>
        </w:tc>
        <w:tc>
          <w:tcPr>
            <w:tcW w:w="1022" w:type="pct"/>
            <w:shd w:val="clear" w:color="auto" w:fill="auto"/>
          </w:tcPr>
          <w:p w:rsidR="00B87BFA" w:rsidRPr="0054394A" w:rsidRDefault="00FF74A5" w:rsidP="005439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87BFA" w:rsidRPr="0054394A">
              <w:rPr>
                <w:sz w:val="24"/>
                <w:szCs w:val="24"/>
              </w:rPr>
              <w:t>8</w:t>
            </w:r>
          </w:p>
        </w:tc>
      </w:tr>
      <w:tr w:rsidR="00B87BFA" w:rsidRPr="0054394A" w:rsidTr="00B87BFA">
        <w:trPr>
          <w:trHeight w:val="20"/>
          <w:jc w:val="center"/>
        </w:trPr>
        <w:tc>
          <w:tcPr>
            <w:tcW w:w="2956" w:type="pct"/>
            <w:shd w:val="clear" w:color="auto" w:fill="auto"/>
          </w:tcPr>
          <w:p w:rsidR="00B87BFA" w:rsidRPr="0054394A" w:rsidRDefault="00B87BFA" w:rsidP="0054394A">
            <w:pPr>
              <w:ind w:left="142" w:right="-57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на сорти рослин</w:t>
            </w:r>
          </w:p>
        </w:tc>
        <w:tc>
          <w:tcPr>
            <w:tcW w:w="1022" w:type="pct"/>
            <w:shd w:val="clear" w:color="auto" w:fill="auto"/>
            <w:vAlign w:val="bottom"/>
          </w:tcPr>
          <w:p w:rsidR="00B87BFA" w:rsidRPr="0054394A" w:rsidRDefault="00B87BFA" w:rsidP="00B87BFA">
            <w:pPr>
              <w:jc w:val="right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54394A">
              <w:rPr>
                <w:sz w:val="24"/>
                <w:szCs w:val="24"/>
              </w:rPr>
              <w:t>6</w:t>
            </w:r>
          </w:p>
        </w:tc>
        <w:tc>
          <w:tcPr>
            <w:tcW w:w="1022" w:type="pct"/>
            <w:shd w:val="clear" w:color="auto" w:fill="auto"/>
          </w:tcPr>
          <w:p w:rsidR="00B87BFA" w:rsidRPr="0054394A" w:rsidRDefault="00FF74A5" w:rsidP="005439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B87BFA" w:rsidRPr="0054394A" w:rsidTr="00B87BFA">
        <w:trPr>
          <w:trHeight w:val="20"/>
          <w:jc w:val="center"/>
        </w:trPr>
        <w:tc>
          <w:tcPr>
            <w:tcW w:w="2956" w:type="pct"/>
            <w:shd w:val="clear" w:color="auto" w:fill="auto"/>
          </w:tcPr>
          <w:p w:rsidR="00B87BFA" w:rsidRPr="0054394A" w:rsidRDefault="00B87BFA" w:rsidP="00A739BF">
            <w:pPr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Кількість отриманих охоронних докуме</w:t>
            </w:r>
            <w:r w:rsidRPr="0054394A">
              <w:rPr>
                <w:sz w:val="24"/>
                <w:szCs w:val="24"/>
              </w:rPr>
              <w:t>н</w:t>
            </w:r>
            <w:r w:rsidRPr="0054394A">
              <w:rPr>
                <w:sz w:val="24"/>
                <w:szCs w:val="24"/>
              </w:rPr>
              <w:t>тів</w:t>
            </w:r>
          </w:p>
        </w:tc>
        <w:tc>
          <w:tcPr>
            <w:tcW w:w="1022" w:type="pct"/>
            <w:shd w:val="clear" w:color="auto" w:fill="auto"/>
            <w:vAlign w:val="bottom"/>
          </w:tcPr>
          <w:p w:rsidR="00B87BFA" w:rsidRPr="0054394A" w:rsidRDefault="00B87BFA" w:rsidP="005439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7864</w:t>
            </w:r>
          </w:p>
        </w:tc>
        <w:tc>
          <w:tcPr>
            <w:tcW w:w="1022" w:type="pct"/>
            <w:shd w:val="clear" w:color="auto" w:fill="auto"/>
          </w:tcPr>
          <w:p w:rsidR="00B87BFA" w:rsidRPr="0054394A" w:rsidRDefault="00FF74A5" w:rsidP="005439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B87BFA" w:rsidRPr="0054394A" w:rsidTr="00B87BFA">
        <w:trPr>
          <w:trHeight w:val="20"/>
          <w:jc w:val="center"/>
        </w:trPr>
        <w:tc>
          <w:tcPr>
            <w:tcW w:w="2956" w:type="pct"/>
            <w:shd w:val="clear" w:color="auto" w:fill="auto"/>
            <w:vAlign w:val="center"/>
          </w:tcPr>
          <w:p w:rsidR="00B87BFA" w:rsidRPr="0054394A" w:rsidRDefault="00B87BFA" w:rsidP="0054394A">
            <w:pPr>
              <w:ind w:left="142" w:right="-57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з них</w:t>
            </w:r>
          </w:p>
        </w:tc>
        <w:tc>
          <w:tcPr>
            <w:tcW w:w="1022" w:type="pct"/>
            <w:shd w:val="clear" w:color="auto" w:fill="auto"/>
            <w:vAlign w:val="center"/>
          </w:tcPr>
          <w:p w:rsidR="00B87BFA" w:rsidRPr="0054394A" w:rsidRDefault="00B87BFA" w:rsidP="0054394A">
            <w:pPr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:rsidR="00B87BFA" w:rsidRPr="0054394A" w:rsidRDefault="00B87BFA" w:rsidP="0054394A">
            <w:pPr>
              <w:jc w:val="right"/>
              <w:rPr>
                <w:i/>
                <w:sz w:val="24"/>
                <w:szCs w:val="24"/>
              </w:rPr>
            </w:pPr>
          </w:p>
        </w:tc>
      </w:tr>
      <w:tr w:rsidR="00B87BFA" w:rsidRPr="0054394A" w:rsidTr="00F96E47">
        <w:trPr>
          <w:trHeight w:val="20"/>
          <w:jc w:val="center"/>
        </w:trPr>
        <w:tc>
          <w:tcPr>
            <w:tcW w:w="2956" w:type="pct"/>
            <w:tcBorders>
              <w:bottom w:val="nil"/>
            </w:tcBorders>
            <w:shd w:val="clear" w:color="auto" w:fill="auto"/>
          </w:tcPr>
          <w:p w:rsidR="00B87BFA" w:rsidRPr="0054394A" w:rsidRDefault="00B87BFA" w:rsidP="0054394A">
            <w:pPr>
              <w:ind w:left="142" w:right="-57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на винаходи</w:t>
            </w:r>
          </w:p>
        </w:tc>
        <w:tc>
          <w:tcPr>
            <w:tcW w:w="1022" w:type="pct"/>
            <w:tcBorders>
              <w:bottom w:val="nil"/>
            </w:tcBorders>
            <w:shd w:val="clear" w:color="auto" w:fill="auto"/>
            <w:vAlign w:val="bottom"/>
          </w:tcPr>
          <w:p w:rsidR="00B87BFA" w:rsidRPr="0054394A" w:rsidRDefault="00B87BFA" w:rsidP="005439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2244</w:t>
            </w:r>
          </w:p>
        </w:tc>
        <w:tc>
          <w:tcPr>
            <w:tcW w:w="1022" w:type="pct"/>
            <w:tcBorders>
              <w:bottom w:val="nil"/>
            </w:tcBorders>
            <w:shd w:val="clear" w:color="auto" w:fill="auto"/>
          </w:tcPr>
          <w:p w:rsidR="00B87BFA" w:rsidRPr="0054394A" w:rsidRDefault="00FF74A5" w:rsidP="005439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B87BFA" w:rsidRPr="0054394A" w:rsidTr="00F96E47">
        <w:trPr>
          <w:trHeight w:val="20"/>
          <w:jc w:val="center"/>
        </w:trPr>
        <w:tc>
          <w:tcPr>
            <w:tcW w:w="2956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87BFA" w:rsidRPr="0054394A" w:rsidRDefault="00B87BFA" w:rsidP="0054394A">
            <w:pPr>
              <w:ind w:left="142" w:right="-57"/>
              <w:rPr>
                <w:sz w:val="24"/>
                <w:szCs w:val="24"/>
              </w:rPr>
            </w:pPr>
            <w:r w:rsidRPr="0054394A">
              <w:rPr>
                <w:sz w:val="24"/>
                <w:szCs w:val="24"/>
              </w:rPr>
              <w:t>на сорти рослин</w:t>
            </w:r>
          </w:p>
        </w:tc>
        <w:tc>
          <w:tcPr>
            <w:tcW w:w="1022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87BFA" w:rsidRPr="0054394A" w:rsidRDefault="00B87BFA" w:rsidP="005439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</w:t>
            </w:r>
          </w:p>
        </w:tc>
        <w:tc>
          <w:tcPr>
            <w:tcW w:w="1022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87BFA" w:rsidRPr="0054394A" w:rsidRDefault="00FF74A5" w:rsidP="005439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−</w:t>
            </w:r>
          </w:p>
        </w:tc>
      </w:tr>
    </w:tbl>
    <w:p w:rsidR="006C2356" w:rsidRDefault="006C2356" w:rsidP="006C2356">
      <w:pPr>
        <w:pStyle w:val="22"/>
        <w:widowControl w:val="0"/>
        <w:ind w:firstLine="709"/>
      </w:pPr>
    </w:p>
    <w:p w:rsidR="000B5BC7" w:rsidRPr="00B56E6A" w:rsidRDefault="000B5BC7" w:rsidP="006C2356">
      <w:pPr>
        <w:pStyle w:val="22"/>
        <w:widowControl w:val="0"/>
        <w:ind w:firstLine="709"/>
        <w:rPr>
          <w:lang w:val="en-US"/>
        </w:rPr>
      </w:pPr>
      <w:r w:rsidRPr="00DA51B6">
        <w:t>У 201</w:t>
      </w:r>
      <w:r w:rsidR="00EF45E1">
        <w:t>4</w:t>
      </w:r>
      <w:r w:rsidRPr="00DA51B6">
        <w:t xml:space="preserve">р. </w:t>
      </w:r>
      <w:r w:rsidR="006C2356">
        <w:t>кількість</w:t>
      </w:r>
      <w:r w:rsidRPr="00DA51B6">
        <w:t xml:space="preserve"> науковців, які виїжджали за межі України з метою стажування, навчання, підвищення кваліфікації, ст</w:t>
      </w:r>
      <w:r w:rsidRPr="00DA51B6">
        <w:t>а</w:t>
      </w:r>
      <w:r w:rsidRPr="00DA51B6">
        <w:t>новил</w:t>
      </w:r>
      <w:r w:rsidR="006C2356">
        <w:t>а</w:t>
      </w:r>
      <w:r w:rsidRPr="00DA51B6">
        <w:t xml:space="preserve"> </w:t>
      </w:r>
      <w:r w:rsidR="00317D27">
        <w:t>3</w:t>
      </w:r>
      <w:r w:rsidR="00DD2C21">
        <w:t>,</w:t>
      </w:r>
      <w:r w:rsidR="00164727">
        <w:t>4</w:t>
      </w:r>
      <w:r w:rsidRPr="00DA51B6">
        <w:t xml:space="preserve"> тис. осіб</w:t>
      </w:r>
      <w:r w:rsidR="00164727">
        <w:t xml:space="preserve">, </w:t>
      </w:r>
      <w:r w:rsidR="00164727" w:rsidRPr="00DA51B6">
        <w:t>для пр</w:t>
      </w:r>
      <w:r w:rsidR="00164727" w:rsidRPr="00DA51B6">
        <w:t>о</w:t>
      </w:r>
      <w:r w:rsidR="00164727" w:rsidRPr="00DA51B6">
        <w:t>ведення наукових досліджень –</w:t>
      </w:r>
      <w:r w:rsidR="00317D27">
        <w:t xml:space="preserve"> 3</w:t>
      </w:r>
      <w:r w:rsidR="00164727">
        <w:t>,</w:t>
      </w:r>
      <w:r w:rsidR="00317D27">
        <w:t>6</w:t>
      </w:r>
      <w:r w:rsidR="00164727">
        <w:t> </w:t>
      </w:r>
      <w:r w:rsidR="00164727" w:rsidRPr="00DA51B6">
        <w:t>тис.</w:t>
      </w:r>
      <w:r w:rsidR="00164727">
        <w:t xml:space="preserve"> </w:t>
      </w:r>
      <w:r w:rsidR="00164727" w:rsidRPr="00DA51B6">
        <w:t>осіб</w:t>
      </w:r>
      <w:r w:rsidR="00317D27">
        <w:t xml:space="preserve"> та</w:t>
      </w:r>
      <w:r w:rsidRPr="00DA51B6">
        <w:t xml:space="preserve"> для </w:t>
      </w:r>
      <w:r w:rsidR="003829F2" w:rsidRPr="00DA51B6">
        <w:t>в</w:t>
      </w:r>
      <w:r w:rsidR="003829F2" w:rsidRPr="00DA51B6">
        <w:t>и</w:t>
      </w:r>
      <w:r w:rsidR="003829F2" w:rsidRPr="00DA51B6">
        <w:t xml:space="preserve">кладацької роботи </w:t>
      </w:r>
      <w:r w:rsidR="00317D27" w:rsidRPr="00DA51B6">
        <w:t>–</w:t>
      </w:r>
      <w:r w:rsidR="00317D27">
        <w:t xml:space="preserve"> 281</w:t>
      </w:r>
      <w:r w:rsidR="003829F2" w:rsidRPr="00DA51B6">
        <w:t xml:space="preserve"> ос</w:t>
      </w:r>
      <w:r w:rsidR="00317D27">
        <w:t>о</w:t>
      </w:r>
      <w:r w:rsidR="003829F2" w:rsidRPr="00DA51B6">
        <w:t>б</w:t>
      </w:r>
      <w:r w:rsidR="00317D27">
        <w:t>а</w:t>
      </w:r>
      <w:r w:rsidRPr="00DA51B6">
        <w:t xml:space="preserve">. </w:t>
      </w:r>
      <w:r w:rsidR="00032A9D">
        <w:t xml:space="preserve">Переважна більшість виїздів (88,7%) проводилась терміном до 3-х </w:t>
      </w:r>
      <w:r w:rsidR="00032A9D" w:rsidRPr="006938E6">
        <w:t>місяці</w:t>
      </w:r>
      <w:r w:rsidR="00032A9D">
        <w:t>в, 10,6% – до одного року, 29 осіб виїжджали більш ніж на 2 роки. Вітчизняні науковці брали</w:t>
      </w:r>
      <w:r w:rsidRPr="00DA51B6">
        <w:t xml:space="preserve"> участ</w:t>
      </w:r>
      <w:r w:rsidR="00032A9D">
        <w:t>ь</w:t>
      </w:r>
      <w:r w:rsidRPr="00DA51B6">
        <w:t xml:space="preserve"> </w:t>
      </w:r>
      <w:r w:rsidR="00032A9D">
        <w:t>у 7,6</w:t>
      </w:r>
      <w:r w:rsidR="00032A9D" w:rsidRPr="00DA51B6">
        <w:t xml:space="preserve"> тис. </w:t>
      </w:r>
      <w:r w:rsidRPr="00DA51B6">
        <w:t xml:space="preserve">міжнародних семінарах, конференціях </w:t>
      </w:r>
      <w:r w:rsidR="00F96E47">
        <w:t xml:space="preserve">та інших заходах, що проводилися </w:t>
      </w:r>
      <w:r w:rsidR="006C2356">
        <w:t>в інш</w:t>
      </w:r>
      <w:r w:rsidR="00032A9D">
        <w:t>их</w:t>
      </w:r>
      <w:r w:rsidR="006C2356">
        <w:t xml:space="preserve"> країн</w:t>
      </w:r>
      <w:r w:rsidR="00032A9D">
        <w:t>ах</w:t>
      </w:r>
      <w:r w:rsidR="002C70A6">
        <w:t>.</w:t>
      </w:r>
      <w:r w:rsidRPr="00DA51B6">
        <w:t xml:space="preserve"> </w:t>
      </w:r>
      <w:r w:rsidR="002C70A6">
        <w:t>Н</w:t>
      </w:r>
      <w:r w:rsidR="002C70A6" w:rsidRPr="00DA51B6">
        <w:t>ауков</w:t>
      </w:r>
      <w:r w:rsidR="002C70A6">
        <w:t>і</w:t>
      </w:r>
      <w:r w:rsidR="002C70A6" w:rsidRPr="00DA51B6">
        <w:t xml:space="preserve"> організаці</w:t>
      </w:r>
      <w:r w:rsidR="002C70A6">
        <w:t>ї</w:t>
      </w:r>
      <w:r w:rsidR="002C70A6" w:rsidRPr="00DA51B6">
        <w:t xml:space="preserve"> та установи Укр</w:t>
      </w:r>
      <w:r w:rsidR="002C70A6" w:rsidRPr="00DA51B6">
        <w:t>а</w:t>
      </w:r>
      <w:r w:rsidR="002C70A6" w:rsidRPr="00DA51B6">
        <w:t>їн</w:t>
      </w:r>
      <w:r w:rsidR="00D5714A">
        <w:t>и</w:t>
      </w:r>
      <w:r w:rsidR="002C70A6" w:rsidRPr="00DA51B6">
        <w:t xml:space="preserve"> </w:t>
      </w:r>
      <w:r w:rsidR="002C70A6">
        <w:t>здійсн</w:t>
      </w:r>
      <w:r w:rsidR="00D5714A">
        <w:t>и</w:t>
      </w:r>
      <w:r w:rsidR="002C70A6">
        <w:t>ли</w:t>
      </w:r>
      <w:r w:rsidR="002C70A6" w:rsidRPr="00DA51B6">
        <w:t xml:space="preserve"> </w:t>
      </w:r>
      <w:r w:rsidRPr="00DA51B6">
        <w:t>2</w:t>
      </w:r>
      <w:r w:rsidR="00DE272C" w:rsidRPr="00DA51B6">
        <w:t>,</w:t>
      </w:r>
      <w:r w:rsidR="00EF45E1">
        <w:t>0</w:t>
      </w:r>
      <w:r w:rsidR="00E83C4F">
        <w:t xml:space="preserve"> </w:t>
      </w:r>
      <w:r w:rsidR="00DE272C" w:rsidRPr="00DA51B6">
        <w:t>тис.</w:t>
      </w:r>
      <w:r w:rsidRPr="00DA51B6">
        <w:t xml:space="preserve"> таких заходів. </w:t>
      </w:r>
      <w:r w:rsidR="00F96E47" w:rsidRPr="00DA51B6">
        <w:t>На</w:t>
      </w:r>
      <w:r w:rsidR="00F96E47">
        <w:t xml:space="preserve"> </w:t>
      </w:r>
      <w:r w:rsidR="00F96E47" w:rsidRPr="00DA51B6">
        <w:t>наукову роботу від міжнародних фондів</w:t>
      </w:r>
      <w:r w:rsidR="00F96E47" w:rsidRPr="006938E6">
        <w:t xml:space="preserve"> </w:t>
      </w:r>
      <w:r w:rsidR="00F96E47">
        <w:t>було</w:t>
      </w:r>
      <w:r w:rsidRPr="00DA51B6">
        <w:t xml:space="preserve"> отриман</w:t>
      </w:r>
      <w:r w:rsidR="00F96E47">
        <w:t>о</w:t>
      </w:r>
      <w:r w:rsidRPr="00DA51B6">
        <w:t xml:space="preserve"> </w:t>
      </w:r>
      <w:r w:rsidR="00EF45E1">
        <w:t>1885</w:t>
      </w:r>
      <w:r w:rsidR="00F96E47" w:rsidRPr="00F96E47">
        <w:t xml:space="preserve"> </w:t>
      </w:r>
      <w:r w:rsidR="00F96E47" w:rsidRPr="00DA51B6">
        <w:t>грантів</w:t>
      </w:r>
      <w:r w:rsidRPr="00DA51B6">
        <w:t>, у т</w:t>
      </w:r>
      <w:r w:rsidR="00EF45E1">
        <w:t xml:space="preserve">ому </w:t>
      </w:r>
      <w:r w:rsidRPr="00DA51B6">
        <w:t>ч</w:t>
      </w:r>
      <w:r w:rsidR="00EF45E1">
        <w:t>ислі</w:t>
      </w:r>
      <w:r w:rsidRPr="00DA51B6">
        <w:t xml:space="preserve"> </w:t>
      </w:r>
      <w:r w:rsidR="00EF45E1">
        <w:t xml:space="preserve">63,3% </w:t>
      </w:r>
      <w:r w:rsidR="00E52A3A" w:rsidRPr="00DA51B6">
        <w:t>індивідуал</w:t>
      </w:r>
      <w:r w:rsidR="00E52A3A" w:rsidRPr="00DA51B6">
        <w:t>ь</w:t>
      </w:r>
      <w:r w:rsidR="00E52A3A" w:rsidRPr="00DA51B6">
        <w:t>них</w:t>
      </w:r>
      <w:r w:rsidR="00E52A3A">
        <w:t xml:space="preserve"> </w:t>
      </w:r>
      <w:r w:rsidR="00EF45E1">
        <w:t xml:space="preserve">та 36,7% </w:t>
      </w:r>
      <w:r w:rsidR="00EF45E1" w:rsidRPr="00DA51B6">
        <w:t>–</w:t>
      </w:r>
      <w:r w:rsidRPr="00DA51B6">
        <w:t xml:space="preserve"> </w:t>
      </w:r>
      <w:r w:rsidR="00E52A3A" w:rsidRPr="00DA51B6">
        <w:t>колективних</w:t>
      </w:r>
      <w:r w:rsidR="00EF45E1">
        <w:t>.</w:t>
      </w:r>
      <w:r w:rsidRPr="00DA51B6">
        <w:t xml:space="preserve"> Загалом </w:t>
      </w:r>
      <w:r w:rsidR="002C70A6">
        <w:t>кількість</w:t>
      </w:r>
      <w:r w:rsidRPr="00DA51B6">
        <w:t xml:space="preserve"> науковців, які користувалися гра</w:t>
      </w:r>
      <w:r w:rsidRPr="00DA51B6">
        <w:t>н</w:t>
      </w:r>
      <w:r w:rsidRPr="00DA51B6">
        <w:t>тами, стан</w:t>
      </w:r>
      <w:r w:rsidRPr="00DA51B6">
        <w:t>о</w:t>
      </w:r>
      <w:r w:rsidRPr="00DA51B6">
        <w:t>вил</w:t>
      </w:r>
      <w:r w:rsidR="00224A8B">
        <w:t>а</w:t>
      </w:r>
      <w:r w:rsidRPr="00DA51B6">
        <w:t xml:space="preserve"> </w:t>
      </w:r>
      <w:r w:rsidR="00EF45E1">
        <w:t>4,</w:t>
      </w:r>
      <w:r w:rsidR="003829F2" w:rsidRPr="00DA51B6">
        <w:t>5</w:t>
      </w:r>
      <w:r w:rsidRPr="00DA51B6">
        <w:t xml:space="preserve"> тис. осіб.</w:t>
      </w:r>
      <w:r w:rsidR="00B56E6A">
        <w:t xml:space="preserve"> </w:t>
      </w:r>
    </w:p>
    <w:p w:rsidR="00B951B6" w:rsidRDefault="00B951B6" w:rsidP="007F6F93">
      <w:pPr>
        <w:pStyle w:val="22"/>
        <w:widowControl w:val="0"/>
        <w:ind w:firstLine="0"/>
        <w:rPr>
          <w:szCs w:val="28"/>
        </w:rPr>
      </w:pPr>
    </w:p>
    <w:p w:rsidR="009E35C6" w:rsidRDefault="009E35C6" w:rsidP="009E35C6">
      <w:pPr>
        <w:pStyle w:val="22"/>
        <w:widowControl w:val="0"/>
        <w:ind w:firstLine="0"/>
        <w:rPr>
          <w:szCs w:val="28"/>
        </w:rPr>
      </w:pPr>
      <w:r>
        <w:rPr>
          <w:rFonts w:ascii="TimesNewRomanPS-BoldMT" w:hAnsi="TimesNewRomanPS-BoldMT" w:cs="TimesNewRomanPS-BoldMT"/>
          <w:b/>
          <w:bCs/>
          <w:sz w:val="22"/>
          <w:szCs w:val="22"/>
          <w:lang w:eastAsia="uk-UA"/>
        </w:rPr>
        <w:t xml:space="preserve">Увага: </w:t>
      </w:r>
      <w:r>
        <w:rPr>
          <w:rFonts w:ascii="TimesNewRomanPSMT" w:hAnsi="TimesNewRomanPSMT" w:cs="TimesNewRomanPSMT"/>
          <w:sz w:val="22"/>
          <w:szCs w:val="22"/>
          <w:lang w:eastAsia="uk-UA"/>
        </w:rPr>
        <w:t>13.05.2015 дані були уточнені (позначені кольором) у зв</w:t>
      </w:r>
      <w:r w:rsidRPr="00C2481C">
        <w:rPr>
          <w:rFonts w:ascii="TimesNewRomanPSMT" w:hAnsi="TimesNewRomanPSMT" w:cs="TimesNewRomanPSMT"/>
          <w:sz w:val="22"/>
          <w:szCs w:val="22"/>
          <w:lang w:val="ru-RU" w:eastAsia="uk-UA"/>
        </w:rPr>
        <w:t>'</w:t>
      </w:r>
      <w:r>
        <w:rPr>
          <w:rFonts w:ascii="TimesNewRomanPSMT" w:hAnsi="TimesNewRomanPSMT" w:cs="TimesNewRomanPSMT"/>
          <w:sz w:val="22"/>
          <w:szCs w:val="22"/>
          <w:lang w:eastAsia="uk-UA"/>
        </w:rPr>
        <w:t>язку з внесенням змін до даних по Луганській області.</w:t>
      </w:r>
    </w:p>
    <w:p w:rsidR="00B951B6" w:rsidRDefault="00B951B6" w:rsidP="007F6F93">
      <w:pPr>
        <w:pStyle w:val="22"/>
        <w:widowControl w:val="0"/>
        <w:ind w:firstLine="0"/>
        <w:rPr>
          <w:szCs w:val="28"/>
        </w:rPr>
      </w:pPr>
      <w:bookmarkStart w:id="2" w:name="_GoBack"/>
      <w:bookmarkEnd w:id="2"/>
    </w:p>
    <w:p w:rsidR="00B951B6" w:rsidRDefault="00B951B6" w:rsidP="007F6F93">
      <w:pPr>
        <w:pStyle w:val="22"/>
        <w:widowControl w:val="0"/>
        <w:ind w:firstLine="0"/>
        <w:rPr>
          <w:szCs w:val="28"/>
        </w:rPr>
      </w:pPr>
    </w:p>
    <w:p w:rsidR="00B951B6" w:rsidRDefault="00B951B6" w:rsidP="007F6F93">
      <w:pPr>
        <w:pStyle w:val="22"/>
        <w:widowControl w:val="0"/>
        <w:ind w:firstLine="0"/>
        <w:rPr>
          <w:szCs w:val="28"/>
        </w:rPr>
      </w:pPr>
    </w:p>
    <w:p w:rsidR="00981B7C" w:rsidRDefault="00981B7C" w:rsidP="007F6F93">
      <w:pPr>
        <w:pStyle w:val="22"/>
        <w:widowControl w:val="0"/>
        <w:ind w:firstLine="0"/>
        <w:rPr>
          <w:szCs w:val="28"/>
        </w:rPr>
      </w:pPr>
    </w:p>
    <w:p w:rsidR="000B5BC7" w:rsidRPr="00AB7E4E" w:rsidRDefault="000B5BC7" w:rsidP="007F6F93">
      <w:pPr>
        <w:pStyle w:val="22"/>
        <w:widowControl w:val="0"/>
        <w:ind w:firstLine="0"/>
        <w:rPr>
          <w:sz w:val="24"/>
          <w:szCs w:val="24"/>
        </w:rPr>
      </w:pPr>
      <w:r w:rsidRPr="00AB7E4E">
        <w:rPr>
          <w:sz w:val="24"/>
          <w:szCs w:val="24"/>
        </w:rPr>
        <w:t>Вик</w:t>
      </w:r>
      <w:r w:rsidR="00673C6D" w:rsidRPr="00AB7E4E">
        <w:rPr>
          <w:sz w:val="24"/>
          <w:szCs w:val="24"/>
        </w:rPr>
        <w:t>онавець</w:t>
      </w:r>
      <w:r w:rsidRPr="00AB7E4E">
        <w:rPr>
          <w:sz w:val="24"/>
          <w:szCs w:val="24"/>
        </w:rPr>
        <w:t>: Кісленко О.В.</w:t>
      </w:r>
    </w:p>
    <w:p w:rsidR="00363ED1" w:rsidRPr="00AB7E4E" w:rsidRDefault="007F6F93" w:rsidP="007F6F93">
      <w:pPr>
        <w:pStyle w:val="22"/>
        <w:widowControl w:val="0"/>
        <w:ind w:firstLine="0"/>
        <w:rPr>
          <w:sz w:val="24"/>
          <w:szCs w:val="24"/>
        </w:rPr>
      </w:pPr>
      <w:r w:rsidRPr="00AB7E4E">
        <w:rPr>
          <w:sz w:val="24"/>
          <w:szCs w:val="24"/>
        </w:rPr>
        <w:t xml:space="preserve">          </w:t>
      </w:r>
      <w:r w:rsidR="000B5BC7" w:rsidRPr="00AB7E4E">
        <w:rPr>
          <w:sz w:val="24"/>
          <w:szCs w:val="24"/>
        </w:rPr>
        <w:t>тел. 287-65-49</w:t>
      </w:r>
    </w:p>
    <w:p w:rsidR="00AB7E4E" w:rsidRDefault="00AB7E4E" w:rsidP="007F6F93">
      <w:pPr>
        <w:pStyle w:val="22"/>
        <w:widowControl w:val="0"/>
        <w:ind w:firstLine="0"/>
        <w:rPr>
          <w:sz w:val="24"/>
          <w:szCs w:val="24"/>
        </w:rPr>
      </w:pPr>
    </w:p>
    <w:p w:rsidR="00927CD3" w:rsidRPr="00AB7E4E" w:rsidRDefault="00927CD3" w:rsidP="007F6F93">
      <w:pPr>
        <w:pStyle w:val="22"/>
        <w:widowControl w:val="0"/>
        <w:ind w:firstLine="0"/>
        <w:rPr>
          <w:sz w:val="24"/>
          <w:szCs w:val="24"/>
        </w:rPr>
      </w:pPr>
    </w:p>
    <w:p w:rsidR="00AB7E4E" w:rsidRPr="00AB7E4E" w:rsidRDefault="00AB7E4E" w:rsidP="007F6F93">
      <w:pPr>
        <w:pStyle w:val="22"/>
        <w:widowControl w:val="0"/>
        <w:ind w:firstLine="0"/>
        <w:rPr>
          <w:sz w:val="24"/>
          <w:szCs w:val="24"/>
        </w:rPr>
      </w:pPr>
      <w:r w:rsidRPr="00AB7E4E">
        <w:rPr>
          <w:sz w:val="24"/>
          <w:szCs w:val="24"/>
        </w:rPr>
        <w:t>120/0/05.3вн-15</w:t>
      </w:r>
    </w:p>
    <w:p w:rsidR="00AB7E4E" w:rsidRPr="00AB7E4E" w:rsidRDefault="00AB7E4E" w:rsidP="007F6F93">
      <w:pPr>
        <w:pStyle w:val="22"/>
        <w:widowControl w:val="0"/>
        <w:ind w:firstLine="0"/>
        <w:rPr>
          <w:sz w:val="24"/>
          <w:szCs w:val="24"/>
        </w:rPr>
      </w:pPr>
      <w:r w:rsidRPr="00AB7E4E">
        <w:rPr>
          <w:sz w:val="24"/>
          <w:szCs w:val="24"/>
        </w:rPr>
        <w:t>27.04.2015</w:t>
      </w:r>
    </w:p>
    <w:sectPr w:rsidR="00AB7E4E" w:rsidRPr="00AB7E4E" w:rsidSect="009E39E5">
      <w:headerReference w:type="even" r:id="rId9"/>
      <w:headerReference w:type="default" r:id="rId10"/>
      <w:pgSz w:w="11907" w:h="16840" w:code="9"/>
      <w:pgMar w:top="1134" w:right="1134" w:bottom="1134" w:left="1134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C95" w:rsidRDefault="00625C95">
      <w:r>
        <w:separator/>
      </w:r>
    </w:p>
  </w:endnote>
  <w:endnote w:type="continuationSeparator" w:id="0">
    <w:p w:rsidR="00625C95" w:rsidRDefault="006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C95" w:rsidRDefault="00625C95">
      <w:r>
        <w:separator/>
      </w:r>
    </w:p>
  </w:footnote>
  <w:footnote w:type="continuationSeparator" w:id="0">
    <w:p w:rsidR="00625C95" w:rsidRDefault="00625C95">
      <w:r>
        <w:continuationSeparator/>
      </w:r>
    </w:p>
  </w:footnote>
  <w:footnote w:id="1">
    <w:p w:rsidR="009E39E5" w:rsidRPr="00010872" w:rsidRDefault="009E39E5" w:rsidP="009E39E5">
      <w:pPr>
        <w:pStyle w:val="a9"/>
      </w:pPr>
      <w:r w:rsidRPr="00010872">
        <w:rPr>
          <w:rStyle w:val="ab"/>
        </w:rPr>
        <w:footnoteRef/>
      </w:r>
      <w:r w:rsidRPr="00010872">
        <w:t xml:space="preserve"> 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A3A" w:rsidRDefault="00E52A3A" w:rsidP="00A739B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52A3A" w:rsidRDefault="00E52A3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A3A" w:rsidRDefault="00E52A3A" w:rsidP="00A739B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04C7">
      <w:rPr>
        <w:rStyle w:val="a6"/>
        <w:noProof/>
      </w:rPr>
      <w:t>4</w:t>
    </w:r>
    <w:r>
      <w:rPr>
        <w:rStyle w:val="a6"/>
      </w:rPr>
      <w:fldChar w:fldCharType="end"/>
    </w:r>
  </w:p>
  <w:p w:rsidR="00E52A3A" w:rsidRDefault="00E52A3A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C23"/>
    <w:rsid w:val="00000E8C"/>
    <w:rsid w:val="00001D3B"/>
    <w:rsid w:val="0000399A"/>
    <w:rsid w:val="00006D4F"/>
    <w:rsid w:val="00016295"/>
    <w:rsid w:val="00017C10"/>
    <w:rsid w:val="00020C1B"/>
    <w:rsid w:val="00027FA0"/>
    <w:rsid w:val="00032A9D"/>
    <w:rsid w:val="000401D4"/>
    <w:rsid w:val="00042671"/>
    <w:rsid w:val="00044AE4"/>
    <w:rsid w:val="0004665D"/>
    <w:rsid w:val="00050FB4"/>
    <w:rsid w:val="00080E1D"/>
    <w:rsid w:val="000812BB"/>
    <w:rsid w:val="00083A22"/>
    <w:rsid w:val="00084D26"/>
    <w:rsid w:val="000927DC"/>
    <w:rsid w:val="00094419"/>
    <w:rsid w:val="000B5BC7"/>
    <w:rsid w:val="000B7772"/>
    <w:rsid w:val="000C3D3C"/>
    <w:rsid w:val="000D0DB4"/>
    <w:rsid w:val="000D126F"/>
    <w:rsid w:val="000E3FB9"/>
    <w:rsid w:val="000E5393"/>
    <w:rsid w:val="000F1818"/>
    <w:rsid w:val="000F479E"/>
    <w:rsid w:val="000F658B"/>
    <w:rsid w:val="0010243C"/>
    <w:rsid w:val="00103AEB"/>
    <w:rsid w:val="0010523E"/>
    <w:rsid w:val="001056C4"/>
    <w:rsid w:val="00107970"/>
    <w:rsid w:val="00122300"/>
    <w:rsid w:val="001244EA"/>
    <w:rsid w:val="001416DC"/>
    <w:rsid w:val="00164727"/>
    <w:rsid w:val="00170DAB"/>
    <w:rsid w:val="00172427"/>
    <w:rsid w:val="00177000"/>
    <w:rsid w:val="001849F6"/>
    <w:rsid w:val="0019114B"/>
    <w:rsid w:val="00191409"/>
    <w:rsid w:val="00192CD9"/>
    <w:rsid w:val="001B240D"/>
    <w:rsid w:val="001B7BE5"/>
    <w:rsid w:val="001C5A96"/>
    <w:rsid w:val="001D6B71"/>
    <w:rsid w:val="001E18A5"/>
    <w:rsid w:val="001E297D"/>
    <w:rsid w:val="001E6CA5"/>
    <w:rsid w:val="001E74E3"/>
    <w:rsid w:val="001F7065"/>
    <w:rsid w:val="00221FF2"/>
    <w:rsid w:val="00224A8B"/>
    <w:rsid w:val="00226FDA"/>
    <w:rsid w:val="00231117"/>
    <w:rsid w:val="00231ED0"/>
    <w:rsid w:val="002320F5"/>
    <w:rsid w:val="002362FA"/>
    <w:rsid w:val="0023636B"/>
    <w:rsid w:val="00237D32"/>
    <w:rsid w:val="00237FD3"/>
    <w:rsid w:val="00240415"/>
    <w:rsid w:val="00240A36"/>
    <w:rsid w:val="00242DA5"/>
    <w:rsid w:val="00243372"/>
    <w:rsid w:val="002468E1"/>
    <w:rsid w:val="00257A2A"/>
    <w:rsid w:val="00263419"/>
    <w:rsid w:val="00280419"/>
    <w:rsid w:val="002A18E4"/>
    <w:rsid w:val="002A28DB"/>
    <w:rsid w:val="002B6E20"/>
    <w:rsid w:val="002B7B2D"/>
    <w:rsid w:val="002C0D5A"/>
    <w:rsid w:val="002C2C90"/>
    <w:rsid w:val="002C589C"/>
    <w:rsid w:val="002C70A6"/>
    <w:rsid w:val="002D21BE"/>
    <w:rsid w:val="002E0826"/>
    <w:rsid w:val="002E2A04"/>
    <w:rsid w:val="002E4F80"/>
    <w:rsid w:val="002F26A4"/>
    <w:rsid w:val="00311552"/>
    <w:rsid w:val="00311696"/>
    <w:rsid w:val="0031195E"/>
    <w:rsid w:val="003156E1"/>
    <w:rsid w:val="00317A49"/>
    <w:rsid w:val="00317D27"/>
    <w:rsid w:val="003257F6"/>
    <w:rsid w:val="00325994"/>
    <w:rsid w:val="00326FC6"/>
    <w:rsid w:val="00327500"/>
    <w:rsid w:val="003321B3"/>
    <w:rsid w:val="003325EC"/>
    <w:rsid w:val="0033398A"/>
    <w:rsid w:val="00333A56"/>
    <w:rsid w:val="00337BE7"/>
    <w:rsid w:val="00363CA2"/>
    <w:rsid w:val="00363ED1"/>
    <w:rsid w:val="00363F68"/>
    <w:rsid w:val="00365D56"/>
    <w:rsid w:val="0037764D"/>
    <w:rsid w:val="00380041"/>
    <w:rsid w:val="003829F2"/>
    <w:rsid w:val="00386A71"/>
    <w:rsid w:val="003879AD"/>
    <w:rsid w:val="00394EF5"/>
    <w:rsid w:val="0039692B"/>
    <w:rsid w:val="003A6519"/>
    <w:rsid w:val="003C25F3"/>
    <w:rsid w:val="003D0E82"/>
    <w:rsid w:val="003D36DB"/>
    <w:rsid w:val="003D6901"/>
    <w:rsid w:val="003F1466"/>
    <w:rsid w:val="00422029"/>
    <w:rsid w:val="00423A78"/>
    <w:rsid w:val="004315C4"/>
    <w:rsid w:val="00433699"/>
    <w:rsid w:val="004753D5"/>
    <w:rsid w:val="0047552A"/>
    <w:rsid w:val="0049344A"/>
    <w:rsid w:val="004A2ED8"/>
    <w:rsid w:val="004A48B5"/>
    <w:rsid w:val="004A623B"/>
    <w:rsid w:val="004B089A"/>
    <w:rsid w:val="004B1403"/>
    <w:rsid w:val="004B3213"/>
    <w:rsid w:val="004B4560"/>
    <w:rsid w:val="004D4948"/>
    <w:rsid w:val="004E13CC"/>
    <w:rsid w:val="004E61D4"/>
    <w:rsid w:val="004F04C7"/>
    <w:rsid w:val="004F2314"/>
    <w:rsid w:val="004F4C74"/>
    <w:rsid w:val="005076F2"/>
    <w:rsid w:val="00511684"/>
    <w:rsid w:val="00514B1C"/>
    <w:rsid w:val="005166CF"/>
    <w:rsid w:val="00516935"/>
    <w:rsid w:val="00516EEF"/>
    <w:rsid w:val="00517E18"/>
    <w:rsid w:val="0054394A"/>
    <w:rsid w:val="005554D0"/>
    <w:rsid w:val="0055561F"/>
    <w:rsid w:val="005638B2"/>
    <w:rsid w:val="005735F3"/>
    <w:rsid w:val="005829C8"/>
    <w:rsid w:val="00592FA6"/>
    <w:rsid w:val="005945C6"/>
    <w:rsid w:val="005971CC"/>
    <w:rsid w:val="00597CFF"/>
    <w:rsid w:val="005A043F"/>
    <w:rsid w:val="005A04D2"/>
    <w:rsid w:val="005A050D"/>
    <w:rsid w:val="005C3797"/>
    <w:rsid w:val="005C4D0F"/>
    <w:rsid w:val="005C6243"/>
    <w:rsid w:val="005C7986"/>
    <w:rsid w:val="005D083A"/>
    <w:rsid w:val="005D2E48"/>
    <w:rsid w:val="005F1B6A"/>
    <w:rsid w:val="006067F0"/>
    <w:rsid w:val="00614404"/>
    <w:rsid w:val="00615596"/>
    <w:rsid w:val="00620746"/>
    <w:rsid w:val="00625B2A"/>
    <w:rsid w:val="00625C95"/>
    <w:rsid w:val="00625FB1"/>
    <w:rsid w:val="00627C68"/>
    <w:rsid w:val="00631C23"/>
    <w:rsid w:val="00632ED2"/>
    <w:rsid w:val="006502EE"/>
    <w:rsid w:val="00657DD3"/>
    <w:rsid w:val="0066732C"/>
    <w:rsid w:val="00673C6D"/>
    <w:rsid w:val="00682610"/>
    <w:rsid w:val="006938E6"/>
    <w:rsid w:val="006B42EF"/>
    <w:rsid w:val="006C14F6"/>
    <w:rsid w:val="006C2356"/>
    <w:rsid w:val="006C3515"/>
    <w:rsid w:val="006F1829"/>
    <w:rsid w:val="006F1CDA"/>
    <w:rsid w:val="006F4372"/>
    <w:rsid w:val="00702F93"/>
    <w:rsid w:val="007229BC"/>
    <w:rsid w:val="0073257E"/>
    <w:rsid w:val="007346A5"/>
    <w:rsid w:val="00734837"/>
    <w:rsid w:val="00745FD2"/>
    <w:rsid w:val="00757C9C"/>
    <w:rsid w:val="00757DB7"/>
    <w:rsid w:val="00773AD5"/>
    <w:rsid w:val="007850B0"/>
    <w:rsid w:val="00786953"/>
    <w:rsid w:val="00786AF3"/>
    <w:rsid w:val="007A60D1"/>
    <w:rsid w:val="007A7F44"/>
    <w:rsid w:val="007B60C3"/>
    <w:rsid w:val="007B7D9F"/>
    <w:rsid w:val="007C15B2"/>
    <w:rsid w:val="007C2060"/>
    <w:rsid w:val="007C259C"/>
    <w:rsid w:val="007E141F"/>
    <w:rsid w:val="007E1F19"/>
    <w:rsid w:val="007F01C8"/>
    <w:rsid w:val="007F6F93"/>
    <w:rsid w:val="00800E4A"/>
    <w:rsid w:val="0080417E"/>
    <w:rsid w:val="00804AED"/>
    <w:rsid w:val="008120EA"/>
    <w:rsid w:val="00836CBF"/>
    <w:rsid w:val="00842F4B"/>
    <w:rsid w:val="008509E8"/>
    <w:rsid w:val="00850DDF"/>
    <w:rsid w:val="008738CB"/>
    <w:rsid w:val="00874C59"/>
    <w:rsid w:val="00884FA9"/>
    <w:rsid w:val="008A261E"/>
    <w:rsid w:val="008D2E6A"/>
    <w:rsid w:val="008D44A9"/>
    <w:rsid w:val="008F1747"/>
    <w:rsid w:val="00910CBB"/>
    <w:rsid w:val="00915E63"/>
    <w:rsid w:val="00921DD1"/>
    <w:rsid w:val="00927CD3"/>
    <w:rsid w:val="0093150F"/>
    <w:rsid w:val="00934E8D"/>
    <w:rsid w:val="00941E21"/>
    <w:rsid w:val="00955B21"/>
    <w:rsid w:val="009573E5"/>
    <w:rsid w:val="009751A3"/>
    <w:rsid w:val="009756CE"/>
    <w:rsid w:val="00981B7C"/>
    <w:rsid w:val="00982999"/>
    <w:rsid w:val="00985240"/>
    <w:rsid w:val="00985627"/>
    <w:rsid w:val="00991972"/>
    <w:rsid w:val="009959FD"/>
    <w:rsid w:val="009A15CE"/>
    <w:rsid w:val="009A6279"/>
    <w:rsid w:val="009A67CF"/>
    <w:rsid w:val="009B2223"/>
    <w:rsid w:val="009B6C18"/>
    <w:rsid w:val="009D4E0F"/>
    <w:rsid w:val="009D66EF"/>
    <w:rsid w:val="009D722B"/>
    <w:rsid w:val="009E09E1"/>
    <w:rsid w:val="009E35C6"/>
    <w:rsid w:val="009E39E5"/>
    <w:rsid w:val="009E6BD5"/>
    <w:rsid w:val="00A02EB5"/>
    <w:rsid w:val="00A23D79"/>
    <w:rsid w:val="00A270C4"/>
    <w:rsid w:val="00A34ABB"/>
    <w:rsid w:val="00A35704"/>
    <w:rsid w:val="00A40762"/>
    <w:rsid w:val="00A42840"/>
    <w:rsid w:val="00A46AFB"/>
    <w:rsid w:val="00A47F13"/>
    <w:rsid w:val="00A51D6A"/>
    <w:rsid w:val="00A5764C"/>
    <w:rsid w:val="00A739BF"/>
    <w:rsid w:val="00A77FA5"/>
    <w:rsid w:val="00A805EB"/>
    <w:rsid w:val="00A809A8"/>
    <w:rsid w:val="00A83923"/>
    <w:rsid w:val="00AB7E4E"/>
    <w:rsid w:val="00AC2BAC"/>
    <w:rsid w:val="00AC5702"/>
    <w:rsid w:val="00AE63AA"/>
    <w:rsid w:val="00B01794"/>
    <w:rsid w:val="00B01E78"/>
    <w:rsid w:val="00B0263F"/>
    <w:rsid w:val="00B140B2"/>
    <w:rsid w:val="00B143AF"/>
    <w:rsid w:val="00B2132A"/>
    <w:rsid w:val="00B2368E"/>
    <w:rsid w:val="00B3222A"/>
    <w:rsid w:val="00B340EC"/>
    <w:rsid w:val="00B34CE9"/>
    <w:rsid w:val="00B44A3C"/>
    <w:rsid w:val="00B44F09"/>
    <w:rsid w:val="00B51740"/>
    <w:rsid w:val="00B56E6A"/>
    <w:rsid w:val="00B60770"/>
    <w:rsid w:val="00B659DB"/>
    <w:rsid w:val="00B67570"/>
    <w:rsid w:val="00B764D4"/>
    <w:rsid w:val="00B8444A"/>
    <w:rsid w:val="00B87296"/>
    <w:rsid w:val="00B87BFA"/>
    <w:rsid w:val="00B9014E"/>
    <w:rsid w:val="00B951B6"/>
    <w:rsid w:val="00BA5F88"/>
    <w:rsid w:val="00BA7E1B"/>
    <w:rsid w:val="00BC5309"/>
    <w:rsid w:val="00BD203C"/>
    <w:rsid w:val="00BD4C93"/>
    <w:rsid w:val="00BE0698"/>
    <w:rsid w:val="00BE0D21"/>
    <w:rsid w:val="00BE6F6F"/>
    <w:rsid w:val="00C2044C"/>
    <w:rsid w:val="00C206B5"/>
    <w:rsid w:val="00C21B0F"/>
    <w:rsid w:val="00C273B5"/>
    <w:rsid w:val="00C34B88"/>
    <w:rsid w:val="00C356EC"/>
    <w:rsid w:val="00C37E61"/>
    <w:rsid w:val="00C41863"/>
    <w:rsid w:val="00C43849"/>
    <w:rsid w:val="00C46536"/>
    <w:rsid w:val="00C55CD5"/>
    <w:rsid w:val="00C57DCD"/>
    <w:rsid w:val="00C63532"/>
    <w:rsid w:val="00C636B5"/>
    <w:rsid w:val="00C70C7C"/>
    <w:rsid w:val="00C760D8"/>
    <w:rsid w:val="00C82B43"/>
    <w:rsid w:val="00C835A6"/>
    <w:rsid w:val="00C850CB"/>
    <w:rsid w:val="00C86B3A"/>
    <w:rsid w:val="00C911AC"/>
    <w:rsid w:val="00C91A65"/>
    <w:rsid w:val="00C9540C"/>
    <w:rsid w:val="00C9723D"/>
    <w:rsid w:val="00CA5ED7"/>
    <w:rsid w:val="00CB4853"/>
    <w:rsid w:val="00CB4FCB"/>
    <w:rsid w:val="00CF6ED0"/>
    <w:rsid w:val="00D014EA"/>
    <w:rsid w:val="00D046E3"/>
    <w:rsid w:val="00D147AB"/>
    <w:rsid w:val="00D14A6C"/>
    <w:rsid w:val="00D2453E"/>
    <w:rsid w:val="00D2479C"/>
    <w:rsid w:val="00D25FD4"/>
    <w:rsid w:val="00D304E4"/>
    <w:rsid w:val="00D45443"/>
    <w:rsid w:val="00D53367"/>
    <w:rsid w:val="00D5714A"/>
    <w:rsid w:val="00D71C03"/>
    <w:rsid w:val="00D85A87"/>
    <w:rsid w:val="00D85ADE"/>
    <w:rsid w:val="00D85B5E"/>
    <w:rsid w:val="00D94004"/>
    <w:rsid w:val="00D951A1"/>
    <w:rsid w:val="00D96BED"/>
    <w:rsid w:val="00DA278C"/>
    <w:rsid w:val="00DA3220"/>
    <w:rsid w:val="00DA51B6"/>
    <w:rsid w:val="00DB39D4"/>
    <w:rsid w:val="00DB5750"/>
    <w:rsid w:val="00DC2D51"/>
    <w:rsid w:val="00DD2C21"/>
    <w:rsid w:val="00DD543A"/>
    <w:rsid w:val="00DD5922"/>
    <w:rsid w:val="00DD5CE3"/>
    <w:rsid w:val="00DE272C"/>
    <w:rsid w:val="00DE56FD"/>
    <w:rsid w:val="00DE7D32"/>
    <w:rsid w:val="00DF16D1"/>
    <w:rsid w:val="00DF5249"/>
    <w:rsid w:val="00E0098D"/>
    <w:rsid w:val="00E02EE4"/>
    <w:rsid w:val="00E13AD8"/>
    <w:rsid w:val="00E232D8"/>
    <w:rsid w:val="00E334B6"/>
    <w:rsid w:val="00E378BE"/>
    <w:rsid w:val="00E510FA"/>
    <w:rsid w:val="00E528E6"/>
    <w:rsid w:val="00E52A3A"/>
    <w:rsid w:val="00E62C33"/>
    <w:rsid w:val="00E65A62"/>
    <w:rsid w:val="00E72888"/>
    <w:rsid w:val="00E73802"/>
    <w:rsid w:val="00E82F79"/>
    <w:rsid w:val="00E83C4F"/>
    <w:rsid w:val="00E96DE5"/>
    <w:rsid w:val="00EA4EBC"/>
    <w:rsid w:val="00EB42B7"/>
    <w:rsid w:val="00EB5F03"/>
    <w:rsid w:val="00ED0D99"/>
    <w:rsid w:val="00EF2E3B"/>
    <w:rsid w:val="00EF45E1"/>
    <w:rsid w:val="00EF4D11"/>
    <w:rsid w:val="00F01E4D"/>
    <w:rsid w:val="00F14773"/>
    <w:rsid w:val="00F200A4"/>
    <w:rsid w:val="00F26E8A"/>
    <w:rsid w:val="00F30C32"/>
    <w:rsid w:val="00F31C5E"/>
    <w:rsid w:val="00F417D7"/>
    <w:rsid w:val="00F41A0A"/>
    <w:rsid w:val="00F46F08"/>
    <w:rsid w:val="00F5143B"/>
    <w:rsid w:val="00F54D1C"/>
    <w:rsid w:val="00F72123"/>
    <w:rsid w:val="00F72D42"/>
    <w:rsid w:val="00F84951"/>
    <w:rsid w:val="00F91A2D"/>
    <w:rsid w:val="00F96E47"/>
    <w:rsid w:val="00FA25E0"/>
    <w:rsid w:val="00FD0F5B"/>
    <w:rsid w:val="00FD663B"/>
    <w:rsid w:val="00FE0F68"/>
    <w:rsid w:val="00FE3E67"/>
    <w:rsid w:val="00FF25D9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67EEE-933E-45D4-9F59-E0253724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BC7"/>
    <w:rPr>
      <w:lang w:eastAsia="ru-RU"/>
    </w:rPr>
  </w:style>
  <w:style w:type="paragraph" w:styleId="2">
    <w:name w:val="heading 2"/>
    <w:basedOn w:val="a"/>
    <w:next w:val="a"/>
    <w:link w:val="20"/>
    <w:qFormat/>
    <w:rsid w:val="00BA7E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aliases w:val="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0B5BC7"/>
    <w:pPr>
      <w:jc w:val="center"/>
    </w:pPr>
    <w:rPr>
      <w:rFonts w:ascii="Arial" w:hAnsi="Arial"/>
      <w:b/>
      <w:sz w:val="28"/>
    </w:rPr>
  </w:style>
  <w:style w:type="paragraph" w:styleId="a4">
    <w:name w:val="Body Text Indent"/>
    <w:basedOn w:val="a"/>
    <w:rsid w:val="000B5BC7"/>
    <w:pPr>
      <w:ind w:firstLine="720"/>
      <w:jc w:val="both"/>
    </w:pPr>
    <w:rPr>
      <w:sz w:val="28"/>
    </w:rPr>
  </w:style>
  <w:style w:type="paragraph" w:styleId="a5">
    <w:name w:val="header"/>
    <w:basedOn w:val="a"/>
    <w:rsid w:val="000B5BC7"/>
    <w:pPr>
      <w:tabs>
        <w:tab w:val="center" w:pos="4153"/>
        <w:tab w:val="right" w:pos="8306"/>
      </w:tabs>
    </w:pPr>
    <w:rPr>
      <w:sz w:val="28"/>
    </w:rPr>
  </w:style>
  <w:style w:type="character" w:styleId="a6">
    <w:name w:val="page number"/>
    <w:basedOn w:val="a0"/>
    <w:rsid w:val="000B5BC7"/>
  </w:style>
  <w:style w:type="paragraph" w:styleId="21">
    <w:name w:val="Body Text Indent 2"/>
    <w:basedOn w:val="a"/>
    <w:rsid w:val="000B5BC7"/>
    <w:pPr>
      <w:ind w:firstLine="720"/>
      <w:jc w:val="both"/>
    </w:pPr>
    <w:rPr>
      <w:sz w:val="28"/>
      <w:u w:val="single"/>
    </w:rPr>
  </w:style>
  <w:style w:type="paragraph" w:styleId="22">
    <w:name w:val="Body Text 2"/>
    <w:basedOn w:val="a"/>
    <w:rsid w:val="000B5BC7"/>
    <w:pPr>
      <w:ind w:firstLine="720"/>
      <w:jc w:val="both"/>
    </w:pPr>
    <w:rPr>
      <w:sz w:val="28"/>
    </w:rPr>
  </w:style>
  <w:style w:type="paragraph" w:styleId="a7">
    <w:name w:val="footer"/>
    <w:basedOn w:val="a"/>
    <w:rsid w:val="000B5BC7"/>
    <w:pPr>
      <w:tabs>
        <w:tab w:val="center" w:pos="4153"/>
        <w:tab w:val="right" w:pos="8306"/>
      </w:tabs>
    </w:pPr>
  </w:style>
  <w:style w:type="paragraph" w:styleId="3">
    <w:name w:val="Body Text Indent 3"/>
    <w:basedOn w:val="a"/>
    <w:rsid w:val="000B5BC7"/>
    <w:pPr>
      <w:ind w:firstLine="720"/>
      <w:jc w:val="both"/>
    </w:pPr>
    <w:rPr>
      <w:u w:val="single"/>
    </w:rPr>
  </w:style>
  <w:style w:type="table" w:styleId="1">
    <w:name w:val="Table Simple 1"/>
    <w:basedOn w:val="a1"/>
    <w:rsid w:val="000B5BC7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8">
    <w:name w:val=" Знак Знак Знак"/>
    <w:basedOn w:val="a"/>
    <w:rsid w:val="000B5BC7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rsid w:val="000B5BC7"/>
  </w:style>
  <w:style w:type="character" w:styleId="ab">
    <w:name w:val="footnote reference"/>
    <w:rsid w:val="000B5BC7"/>
    <w:rPr>
      <w:vertAlign w:val="superscript"/>
    </w:rPr>
  </w:style>
  <w:style w:type="paragraph" w:customStyle="1" w:styleId="10">
    <w:name w:val=" Знак Знак Знак Знак Знак Знак1 Знак"/>
    <w:basedOn w:val="a"/>
    <w:rsid w:val="00FD663B"/>
    <w:rPr>
      <w:rFonts w:ascii="Verdana" w:hAnsi="Verdana" w:cs="Verdana"/>
      <w:lang w:val="en-US" w:eastAsia="en-US"/>
    </w:rPr>
  </w:style>
  <w:style w:type="paragraph" w:customStyle="1" w:styleId="ac">
    <w:name w:val=" Знак Знак Знак Знак Знак Знак"/>
    <w:basedOn w:val="a"/>
    <w:rsid w:val="00221FF2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link w:val="2"/>
    <w:rsid w:val="00BA7E1B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Normal">
    <w:name w:val="Normal"/>
    <w:rsid w:val="00BA7E1B"/>
    <w:rPr>
      <w:snapToGrid w:val="0"/>
      <w:sz w:val="28"/>
      <w:lang w:val="ru-RU" w:eastAsia="ru-RU"/>
    </w:rPr>
  </w:style>
  <w:style w:type="paragraph" w:customStyle="1" w:styleId="11">
    <w:name w:val=" Знак Знак Знак Знак Знак Знак1 Знак Знак Знак Знак Знак Знак Знак Знак Знак Знак Знак Знак Знак"/>
    <w:basedOn w:val="a"/>
    <w:link w:val="a0"/>
    <w:rsid w:val="009E39E5"/>
    <w:rPr>
      <w:rFonts w:ascii="Verdana" w:hAnsi="Verdana" w:cs="Verdana"/>
      <w:lang w:val="en-US" w:eastAsia="en-US"/>
    </w:rPr>
  </w:style>
  <w:style w:type="character" w:customStyle="1" w:styleId="aa">
    <w:name w:val="Текст сноски Знак"/>
    <w:link w:val="a9"/>
    <w:rsid w:val="009E39E5"/>
    <w:rPr>
      <w:lang w:eastAsia="ru-RU"/>
    </w:rPr>
  </w:style>
  <w:style w:type="paragraph" w:styleId="ad">
    <w:name w:val="Balloon Text"/>
    <w:basedOn w:val="a"/>
    <w:link w:val="ae"/>
    <w:rsid w:val="00D5714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5714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6684303350970016"/>
          <c:y val="0.26996197718631176"/>
          <c:w val="0.26631393298059963"/>
          <c:h val="0.57414448669201523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87">
              <a:solidFill>
                <a:srgbClr val="000000"/>
              </a:solidFill>
              <a:prstDash val="solid"/>
            </a:ln>
          </c:spPr>
          <c:explosion val="7"/>
          <c:dPt>
            <c:idx val="0"/>
            <c:bubble3D val="0"/>
            <c:spPr>
              <a:pattFill prst="lgGri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87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divot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87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pattFill prst="pct75">
                <a:fgClr>
                  <a:srgbClr val="000000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87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pattFill prst="wdDn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87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pattFill prst="smCheck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87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pattFill prst="lgGri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87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pattFill prst="ltDn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87">
                <a:solidFill>
                  <a:srgbClr val="000000"/>
                </a:solidFill>
                <a:prstDash val="solid"/>
              </a:ln>
            </c:spPr>
          </c:dPt>
          <c:dPt>
            <c:idx val="7"/>
            <c:bubble3D val="0"/>
            <c:spPr>
              <a:pattFill prst="ltUp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87">
                <a:solidFill>
                  <a:srgbClr val="000000"/>
                </a:solidFill>
                <a:prstDash val="solid"/>
              </a:ln>
            </c:spPr>
          </c:dPt>
          <c:dPt>
            <c:idx val="8"/>
            <c:bubble3D val="0"/>
            <c:spPr>
              <a:pattFill prst="dkDn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87">
                <a:solidFill>
                  <a:srgbClr val="000000"/>
                </a:solidFill>
                <a:prstDash val="solid"/>
              </a:ln>
            </c:spPr>
          </c:dPt>
          <c:dPt>
            <c:idx val="9"/>
            <c:bubble3D val="0"/>
            <c:spPr>
              <a:pattFill prst="dkUp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87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4.6815219099193839E-2"/>
                  <c:y val="-4.0268632053820086E-2"/>
                </c:manualLayout>
              </c:layout>
              <c:numFmt formatCode="0.0%" sourceLinked="0"/>
              <c:spPr>
                <a:noFill/>
                <a:ln w="25374">
                  <a:noFill/>
                </a:ln>
              </c:spPr>
              <c:txPr>
                <a:bodyPr/>
                <a:lstStyle/>
                <a:p>
                  <a:pPr>
                    <a:defRPr sz="874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8310991622788264E-2"/>
                  <c:y val="2.909641453203482E-2"/>
                </c:manualLayout>
              </c:layout>
              <c:tx>
                <c:rich>
                  <a:bodyPr/>
                  <a:lstStyle/>
                  <a:p>
                    <a:pPr>
                      <a:defRPr sz="87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uk-UA"/>
                      <a:t>технічні науки
40,4%</a:t>
                    </a:r>
                  </a:p>
                </c:rich>
              </c:tx>
              <c:spPr>
                <a:noFill/>
                <a:ln w="25374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8.8300902685671756E-2"/>
                  <c:y val="1.2168063823125519E-2"/>
                </c:manualLayout>
              </c:layout>
              <c:numFmt formatCode="0.0%" sourceLinked="0"/>
              <c:spPr>
                <a:noFill/>
                <a:ln w="25374">
                  <a:noFill/>
                </a:ln>
              </c:spPr>
              <c:txPr>
                <a:bodyPr/>
                <a:lstStyle/>
                <a:p>
                  <a:pPr>
                    <a:defRPr sz="874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0.11461944652884298"/>
                  <c:y val="-0.11722665251849809"/>
                </c:manualLayout>
              </c:layout>
              <c:numFmt formatCode="0.0%" sourceLinked="0"/>
              <c:spPr>
                <a:noFill/>
                <a:ln w="25374">
                  <a:noFill/>
                </a:ln>
              </c:spPr>
              <c:txPr>
                <a:bodyPr/>
                <a:lstStyle/>
                <a:p>
                  <a:pPr>
                    <a:defRPr sz="874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.17384245651078489"/>
                  <c:y val="-6.3295415718086431E-2"/>
                </c:manualLayout>
              </c:layout>
              <c:numFmt formatCode="0.0%" sourceLinked="0"/>
              <c:spPr>
                <a:noFill/>
                <a:ln w="25374">
                  <a:noFill/>
                </a:ln>
              </c:spPr>
              <c:txPr>
                <a:bodyPr/>
                <a:lstStyle/>
                <a:p>
                  <a:pPr>
                    <a:defRPr sz="874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%" sourceLinked="0"/>
            <c:spPr>
              <a:noFill/>
              <a:ln w="2537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7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12687">
                  <a:solidFill>
                    <a:srgbClr val="000000"/>
                  </a:solidFill>
                  <a:prstDash val="solid"/>
                </a:ln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природничі науки</c:v>
                </c:pt>
                <c:pt idx="1">
                  <c:v>технічні науки</c:v>
                </c:pt>
                <c:pt idx="2">
                  <c:v>гуманітарні науки</c:v>
                </c:pt>
                <c:pt idx="3">
                  <c:v>суспільні науки</c:v>
                </c:pt>
                <c:pt idx="4">
                  <c:v>організації багатогалузевого профілю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354</c:v>
                </c:pt>
                <c:pt idx="1">
                  <c:v>403</c:v>
                </c:pt>
                <c:pt idx="2">
                  <c:v>47</c:v>
                </c:pt>
                <c:pt idx="3">
                  <c:v>121</c:v>
                </c:pt>
                <c:pt idx="4">
                  <c:v>74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87">
              <a:solidFill>
                <a:srgbClr val="000000"/>
              </a:solidFill>
              <a:prstDash val="solid"/>
            </a:ln>
          </c:spPr>
          <c:explosion val="7"/>
          <c:dPt>
            <c:idx val="0"/>
            <c:bubble3D val="0"/>
            <c:spPr>
              <a:solidFill>
                <a:srgbClr val="9999FF"/>
              </a:solidFill>
              <a:ln w="12687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687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87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687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7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7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12687">
                  <a:solidFill>
                    <a:srgbClr val="000000"/>
                  </a:solidFill>
                  <a:prstDash val="solid"/>
                </a:ln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природничі науки</c:v>
                </c:pt>
                <c:pt idx="1">
                  <c:v>технічні науки</c:v>
                </c:pt>
                <c:pt idx="2">
                  <c:v>гуманітарні науки</c:v>
                </c:pt>
                <c:pt idx="3">
                  <c:v>суспільні науки</c:v>
                </c:pt>
                <c:pt idx="4">
                  <c:v>організації багатогалузевого профілю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87">
              <a:solidFill>
                <a:srgbClr val="000000"/>
              </a:solidFill>
              <a:prstDash val="solid"/>
            </a:ln>
          </c:spPr>
          <c:explosion val="7"/>
          <c:dPt>
            <c:idx val="0"/>
            <c:bubble3D val="0"/>
            <c:spPr>
              <a:solidFill>
                <a:srgbClr val="9999FF"/>
              </a:solidFill>
              <a:ln w="12687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87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dPt>
            <c:idx val="3"/>
            <c:bubble3D val="0"/>
            <c:spPr>
              <a:solidFill>
                <a:srgbClr val="CCFFFF"/>
              </a:solidFill>
              <a:ln w="12687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687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7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7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12687">
                  <a:solidFill>
                    <a:srgbClr val="000000"/>
                  </a:solidFill>
                  <a:prstDash val="solid"/>
                </a:ln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природничі науки</c:v>
                </c:pt>
                <c:pt idx="1">
                  <c:v>технічні науки</c:v>
                </c:pt>
                <c:pt idx="2">
                  <c:v>гуманітарні науки</c:v>
                </c:pt>
                <c:pt idx="3">
                  <c:v>суспільні науки</c:v>
                </c:pt>
                <c:pt idx="4">
                  <c:v>організації багатогалузевого профілю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spPr>
            <a:solidFill>
              <a:srgbClr val="CCFFFF"/>
            </a:solidFill>
            <a:ln w="12687">
              <a:solidFill>
                <a:srgbClr val="000000"/>
              </a:solidFill>
              <a:prstDash val="solid"/>
            </a:ln>
          </c:spPr>
          <c:explosion val="7"/>
          <c:dPt>
            <c:idx val="0"/>
            <c:bubble3D val="0"/>
            <c:spPr>
              <a:solidFill>
                <a:srgbClr val="9999FF"/>
              </a:solidFill>
              <a:ln w="12687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87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87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</c:dPt>
          <c:dPt>
            <c:idx val="4"/>
            <c:bubble3D val="0"/>
            <c:spPr>
              <a:solidFill>
                <a:srgbClr val="660066"/>
              </a:solidFill>
              <a:ln w="12687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7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7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12687">
                  <a:solidFill>
                    <a:srgbClr val="000000"/>
                  </a:solidFill>
                  <a:prstDash val="solid"/>
                </a:ln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природничі науки</c:v>
                </c:pt>
                <c:pt idx="1">
                  <c:v>технічні науки</c:v>
                </c:pt>
                <c:pt idx="2">
                  <c:v>гуманітарні науки</c:v>
                </c:pt>
                <c:pt idx="3">
                  <c:v>суспільні науки</c:v>
                </c:pt>
                <c:pt idx="4">
                  <c:v>організації багатогалузевого профілю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  <c:spPr>
        <a:noFill/>
        <a:ln w="25374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4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666666666666666E-2"/>
          <c:y val="5.2884615384615384E-2"/>
          <c:w val="0.93495934959349591"/>
          <c:h val="0.7163461538461538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дослідники</c:v>
                </c:pt>
              </c:strCache>
            </c:strRef>
          </c:tx>
          <c:spPr>
            <a:solidFill>
              <a:srgbClr val="FFFFFF"/>
            </a:solidFill>
            <a:ln w="1269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7872682813417102E-3"/>
                  <c:y val="-2.8111990808841192E-2"/>
                </c:manualLayout>
              </c:layout>
              <c:spPr>
                <a:noFill/>
                <a:ln w="25387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5197738561305583E-3"/>
                  <c:y val="-1.9236297385903683E-2"/>
                </c:manualLayout>
              </c:layout>
              <c:spPr>
                <a:noFill/>
                <a:ln w="25387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4.8003641760464566E-3"/>
                  <c:y val="-7.1343245555844093E-3"/>
                </c:manualLayout>
              </c:layout>
              <c:spPr>
                <a:noFill/>
                <a:ln w="25387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2.1824259368988796E-3"/>
                  <c:y val="-9.0006777998903886E-3"/>
                </c:manualLayout>
              </c:layout>
              <c:spPr>
                <a:noFill/>
                <a:ln w="25387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25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Sheet1!$B$1:$G$1</c:f>
              <c:strCache>
                <c:ptCount val="6"/>
                <c:pt idx="0">
                  <c:v>до 29 років</c:v>
                </c:pt>
                <c:pt idx="1">
                  <c:v>30-39 років</c:v>
                </c:pt>
                <c:pt idx="2">
                  <c:v>40-49 років</c:v>
                </c:pt>
                <c:pt idx="3">
                  <c:v>50-59 років</c:v>
                </c:pt>
                <c:pt idx="4">
                  <c:v>60-69 років</c:v>
                </c:pt>
                <c:pt idx="5">
                  <c:v>70 років і більше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8807</c:v>
                </c:pt>
                <c:pt idx="1">
                  <c:v>12840</c:v>
                </c:pt>
                <c:pt idx="2">
                  <c:v>8897</c:v>
                </c:pt>
                <c:pt idx="3">
                  <c:v>12315</c:v>
                </c:pt>
                <c:pt idx="4">
                  <c:v>10857</c:v>
                </c:pt>
                <c:pt idx="5">
                  <c:v>4979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 них жінки</c:v>
                </c:pt>
              </c:strCache>
            </c:strRef>
          </c:tx>
          <c:spPr>
            <a:pattFill prst="lgGrid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69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3.6702364855564773E-4"/>
                  <c:y val="-1.0446891253977908E-2"/>
                </c:manualLayout>
              </c:layout>
              <c:spPr>
                <a:noFill/>
                <a:ln w="25387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5.1657672603247495E-3"/>
                  <c:y val="-1.9876241431359576E-2"/>
                </c:manualLayout>
              </c:layout>
              <c:spPr>
                <a:noFill/>
                <a:ln w="25387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5.8203413200780818E-3"/>
                  <c:y val="-3.8265649486122211E-3"/>
                </c:manualLayout>
              </c:layout>
              <c:spPr>
                <a:noFill/>
                <a:ln w="25387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8490671883080205E-3"/>
                  <c:y val="-2.0528804091796193E-2"/>
                </c:manualLayout>
              </c:layout>
              <c:spPr>
                <a:noFill/>
                <a:ln w="25387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5.5036412480613528E-3"/>
                  <c:y val="-1.8248440098833751E-2"/>
                </c:manualLayout>
              </c:layout>
              <c:spPr>
                <a:noFill/>
                <a:ln w="25387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2.9063508561286699E-3"/>
                  <c:y val="-8.196811936969528E-3"/>
                </c:manualLayout>
              </c:layout>
              <c:spPr>
                <a:noFill/>
                <a:ln w="25387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spPr>
                <a:noFill/>
                <a:ln w="25387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25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Sheet1!$B$1:$G$1</c:f>
              <c:strCache>
                <c:ptCount val="6"/>
                <c:pt idx="0">
                  <c:v>до 29 років</c:v>
                </c:pt>
                <c:pt idx="1">
                  <c:v>30-39 років</c:v>
                </c:pt>
                <c:pt idx="2">
                  <c:v>40-49 років</c:v>
                </c:pt>
                <c:pt idx="3">
                  <c:v>50-59 років</c:v>
                </c:pt>
                <c:pt idx="4">
                  <c:v>60-69 років</c:v>
                </c:pt>
                <c:pt idx="5">
                  <c:v>70 років і більше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  <c:pt idx="0">
                  <c:v>3942</c:v>
                </c:pt>
                <c:pt idx="1">
                  <c:v>6362</c:v>
                </c:pt>
                <c:pt idx="2">
                  <c:v>4886</c:v>
                </c:pt>
                <c:pt idx="3">
                  <c:v>6147</c:v>
                </c:pt>
                <c:pt idx="4">
                  <c:v>4282</c:v>
                </c:pt>
                <c:pt idx="5">
                  <c:v>1271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доктори та кандидати наук</c:v>
                </c:pt>
              </c:strCache>
            </c:strRef>
          </c:tx>
          <c:spPr>
            <a:solidFill>
              <a:srgbClr val="969696"/>
            </a:solidFill>
            <a:ln w="1269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5.2144702725861747E-3"/>
                  <c:y val="1.1703825483353025E-2"/>
                </c:manualLayout>
              </c:layout>
              <c:spPr>
                <a:noFill/>
                <a:ln w="25387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0767740960042238E-2"/>
                  <c:y val="1.7587344851124342E-2"/>
                </c:manualLayout>
              </c:layout>
              <c:spPr>
                <a:noFill/>
                <a:ln w="25387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1422315019795515E-2"/>
                  <c:y val="1.7286300750867678E-2"/>
                </c:manualLayout>
              </c:layout>
              <c:spPr>
                <a:noFill/>
                <a:ln w="25387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2077057148188075E-2"/>
                  <c:y val="7.1439387384270026E-3"/>
                </c:manualLayout>
              </c:layout>
              <c:spPr>
                <a:noFill/>
                <a:ln w="25387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9.4795986876161642E-3"/>
                  <c:y val="-6.2492188476437338E-4"/>
                </c:manualLayout>
              </c:layout>
              <c:spPr>
                <a:noFill/>
                <a:ln w="25387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2.0042595151956721E-3"/>
                  <c:y val="-2.1874909867035885E-2"/>
                </c:manualLayout>
              </c:layout>
              <c:spPr>
                <a:noFill/>
                <a:ln w="25387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spPr>
                <a:noFill/>
                <a:ln w="25387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25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Sheet1!$B$1:$G$1</c:f>
              <c:strCache>
                <c:ptCount val="6"/>
                <c:pt idx="0">
                  <c:v>до 29 років</c:v>
                </c:pt>
                <c:pt idx="1">
                  <c:v>30-39 років</c:v>
                </c:pt>
                <c:pt idx="2">
                  <c:v>40-49 років</c:v>
                </c:pt>
                <c:pt idx="3">
                  <c:v>50-59 років</c:v>
                </c:pt>
                <c:pt idx="4">
                  <c:v>60-69 років</c:v>
                </c:pt>
                <c:pt idx="5">
                  <c:v>70 років і більше</c:v>
                </c:pt>
              </c:strCache>
            </c:strRef>
          </c:cat>
          <c:val>
            <c:numRef>
              <c:f>Sheet1!$B$4:$G$4</c:f>
              <c:numCache>
                <c:formatCode>General</c:formatCode>
                <c:ptCount val="6"/>
                <c:pt idx="0">
                  <c:v>681</c:v>
                </c:pt>
                <c:pt idx="1">
                  <c:v>3925</c:v>
                </c:pt>
                <c:pt idx="2">
                  <c:v>3214</c:v>
                </c:pt>
                <c:pt idx="3">
                  <c:v>4109</c:v>
                </c:pt>
                <c:pt idx="4">
                  <c:v>4047</c:v>
                </c:pt>
                <c:pt idx="5">
                  <c:v>2998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242794976"/>
        <c:axId val="242796096"/>
      </c:barChart>
      <c:catAx>
        <c:axId val="242794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427960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4279609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42794976"/>
        <c:crosses val="autoZero"/>
        <c:crossBetween val="between"/>
        <c:majorUnit val="5000"/>
      </c:valAx>
      <c:spPr>
        <a:noFill/>
        <a:ln w="25387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73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</c:legendEntry>
      <c:legendEntry>
        <c:idx val="1"/>
        <c:txPr>
          <a:bodyPr/>
          <a:lstStyle/>
          <a:p>
            <a:pPr>
              <a:defRPr sz="73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</c:legendEntry>
      <c:legendEntry>
        <c:idx val="2"/>
        <c:txPr>
          <a:bodyPr/>
          <a:lstStyle/>
          <a:p>
            <a:pPr>
              <a:defRPr sz="73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</c:legendEntry>
      <c:layout>
        <c:manualLayout>
          <c:xMode val="edge"/>
          <c:yMode val="edge"/>
          <c:x val="0.25203252032520324"/>
          <c:y val="0.89903846153846156"/>
          <c:w val="0.48617886178861791"/>
          <c:h val="0.10576923076923077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233786016373904"/>
          <c:y val="0.15338784125844113"/>
          <c:w val="0.5892857142857143"/>
          <c:h val="0.80869565217391304"/>
        </c:manualLayout>
      </c:layout>
      <c:ofPieChart>
        <c:ofPieType val="bar"/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ln w="12686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plosion val="3"/>
            <c:spPr>
              <a:pattFill prst="lgGri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86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C0C0C0"/>
              </a:solidFill>
              <a:ln w="12686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FF"/>
              </a:solidFill>
              <a:ln w="1268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000000"/>
              </a:solidFill>
              <a:ln w="12686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explosion val="11"/>
            <c:spPr>
              <a:pattFill prst="pct10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86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008000"/>
              </a:solidFill>
              <a:ln w="12686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explosion val="9"/>
            <c:spPr>
              <a:pattFill prst="pct60">
                <a:fgClr>
                  <a:srgbClr xmlns:mc="http://schemas.openxmlformats.org/markup-compatibility/2006" xmlns:a14="http://schemas.microsoft.com/office/drawing/2010/main" val="969696" mc:Ignorable="a14" a14:legacySpreadsheetColorIndex="55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86">
                <a:solidFill>
                  <a:srgbClr val="000000"/>
                </a:solidFill>
                <a:prstDash val="solid"/>
              </a:ln>
            </c:spPr>
          </c:dPt>
          <c:dPt>
            <c:idx val="7"/>
            <c:bubble3D val="0"/>
            <c:spPr>
              <a:solidFill>
                <a:srgbClr val="333333"/>
              </a:solidFill>
              <a:ln w="12686">
                <a:solidFill>
                  <a:srgbClr val="000000"/>
                </a:solidFill>
                <a:prstDash val="solid"/>
              </a:ln>
            </c:spPr>
          </c:dPt>
          <c:dPt>
            <c:idx val="8"/>
            <c:bubble3D val="0"/>
            <c:spPr>
              <a:pattFill prst="wdDnDiag">
                <a:fgClr>
                  <a:srgbClr xmlns:mc="http://schemas.openxmlformats.org/markup-compatibility/2006" xmlns:a14="http://schemas.microsoft.com/office/drawing/2010/main" val="969696" mc:Ignorable="a14" a14:legacySpreadsheetColorIndex="55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86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0.1054168258190403"/>
                  <c:y val="-1.1568409343715239E-2"/>
                </c:manualLayout>
              </c:layout>
              <c:tx>
                <c:rich>
                  <a:bodyPr/>
                  <a:lstStyle/>
                  <a:p>
                    <a:pPr>
                      <a:defRPr sz="749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uk-UA"/>
                      <a:t>бюджетні кошти
39,6 %</a:t>
                    </a:r>
                  </a:p>
                </c:rich>
              </c:tx>
              <c:spPr>
                <a:solidFill>
                  <a:srgbClr val="FFFF00"/>
                </a:solidFill>
                <a:ln w="25372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4634938422001753E-2"/>
                  <c:y val="-0.10881237054827936"/>
                </c:manualLayout>
              </c:layout>
              <c:numFmt formatCode="0.0%" sourceLinked="0"/>
              <c:spPr>
                <a:solidFill>
                  <a:srgbClr val="FFFF00"/>
                </a:solidFill>
                <a:ln w="25372">
                  <a:noFill/>
                </a:ln>
              </c:spPr>
              <c:txPr>
                <a:bodyPr/>
                <a:lstStyle/>
                <a:p>
                  <a:pPr>
                    <a:defRPr sz="74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5343930196919422E-2"/>
                  <c:y val="-3.613376192269626E-2"/>
                </c:manualLayout>
              </c:layout>
              <c:numFmt formatCode="0.0%" sourceLinked="0"/>
              <c:spPr>
                <a:solidFill>
                  <a:srgbClr val="FFFF00"/>
                </a:solidFill>
                <a:ln w="25372">
                  <a:noFill/>
                </a:ln>
              </c:spPr>
              <c:txPr>
                <a:bodyPr/>
                <a:lstStyle/>
                <a:p>
                  <a:pPr>
                    <a:defRPr sz="74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7821552989686843E-2"/>
                  <c:y val="-0.10676998940204777"/>
                </c:manualLayout>
              </c:layout>
              <c:numFmt formatCode="0.0%" sourceLinked="0"/>
              <c:spPr>
                <a:solidFill>
                  <a:srgbClr val="FFFF00"/>
                </a:solidFill>
                <a:ln w="25372">
                  <a:noFill/>
                </a:ln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74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4.6756282875511396E-2"/>
                  <c:y val="-0.13904338153503892"/>
                </c:manualLayout>
              </c:layout>
              <c:numFmt formatCode="0.0%" sourceLinked="0"/>
              <c:spPr>
                <a:solidFill>
                  <a:srgbClr val="FFFF00"/>
                </a:solidFill>
                <a:ln w="25372">
                  <a:noFill/>
                </a:ln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74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5.6107539450613676E-2"/>
                  <c:y val="2.224694104560623E-2"/>
                </c:manualLayout>
              </c:layout>
              <c:numFmt formatCode="0.00%" sourceLinked="0"/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4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7.481005260081823E-2"/>
                  <c:y val="2.224694104560623E-2"/>
                </c:manualLayout>
              </c:layout>
              <c:numFmt formatCode="0.0%" sourceLinked="0"/>
              <c:spPr>
                <a:solidFill>
                  <a:srgbClr val="FFFF00"/>
                </a:solidFill>
                <a:ln w="25372">
                  <a:noFill/>
                </a:ln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74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7.2472238457042495E-2"/>
                  <c:y val="6.1179087875417031E-2"/>
                </c:manualLayout>
              </c:layout>
              <c:numFmt formatCode="0.00%" sourceLinked="0"/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4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3727525000345153E-3"/>
                  <c:y val="1.7136275651861649E-3"/>
                </c:manualLayout>
              </c:layout>
              <c:tx>
                <c:rich>
                  <a:bodyPr/>
                  <a:lstStyle/>
                  <a:p>
                    <a:pPr>
                      <a:defRPr sz="749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uk-UA"/>
                      <a:t>кошти вітчизняних замовників
20,8%</a:t>
                    </a:r>
                  </a:p>
                </c:rich>
              </c:tx>
              <c:spPr>
                <a:solidFill>
                  <a:srgbClr val="FFFF00"/>
                </a:solidFill>
                <a:ln w="25372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150798216266213"/>
                      <c:h val="0.23820912124582869"/>
                    </c:manualLayout>
                  </c15:layout>
                </c:ext>
              </c:extLst>
            </c:dLbl>
            <c:numFmt formatCode="0.0%" sourceLinked="0"/>
            <c:spPr>
              <a:noFill/>
              <a:ln w="2537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4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Sheet1!$B$1:$I$1</c:f>
              <c:strCache>
                <c:ptCount val="8"/>
                <c:pt idx="0">
                  <c:v>бюджетні кошти</c:v>
                </c:pt>
                <c:pt idx="1">
                  <c:v>кошти іноземних джерел</c:v>
                </c:pt>
                <c:pt idx="2">
                  <c:v>власні кошти</c:v>
                </c:pt>
                <c:pt idx="3">
                  <c:v>кошти інших джерел</c:v>
                </c:pt>
                <c:pt idx="4">
                  <c:v>кошти організацій державного сектору</c:v>
                </c:pt>
                <c:pt idx="5">
                  <c:v>кошти організацій сектору вищої освіти</c:v>
                </c:pt>
                <c:pt idx="6">
                  <c:v>кошти організацій підприємницького сектору</c:v>
                </c:pt>
                <c:pt idx="7">
                  <c:v>кошти приватних некомерційних організацій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8"/>
                <c:pt idx="0">
                  <c:v>4088390.6</c:v>
                </c:pt>
                <c:pt idx="1">
                  <c:v>2043013.1</c:v>
                </c:pt>
                <c:pt idx="2">
                  <c:v>1927807.3</c:v>
                </c:pt>
                <c:pt idx="3">
                  <c:v>108681.7</c:v>
                </c:pt>
                <c:pt idx="4">
                  <c:v>302395.40000000002</c:v>
                </c:pt>
                <c:pt idx="5">
                  <c:v>5006.5</c:v>
                </c:pt>
                <c:pt idx="6">
                  <c:v>1842145.4</c:v>
                </c:pt>
                <c:pt idx="7">
                  <c:v>2887.9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gapWidth val="200"/>
        <c:splitType val="pos"/>
        <c:splitPos val="4"/>
        <c:secondPieSize val="55"/>
        <c:serLines>
          <c:spPr>
            <a:ln w="12686">
              <a:solidFill>
                <a:srgbClr val="000000"/>
              </a:solidFill>
              <a:prstDash val="solid"/>
            </a:ln>
          </c:spPr>
        </c:serLines>
      </c:ofPieChart>
      <c:spPr>
        <a:noFill/>
        <a:ln w="253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49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6115</Words>
  <Characters>3487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Наукова та науково-технічна діяльність в Україні у 2010р</vt:lpstr>
      <vt:lpstr>Наукова та науково-технічна діяльність в Україні у 2010р</vt:lpstr>
    </vt:vector>
  </TitlesOfParts>
  <Company/>
  <LinksUpToDate>false</LinksUpToDate>
  <CharactersWithSpaces>9583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Наукова та науково-технічна діяльність в Україні у 2010р</dc:title>
  <dc:subject/>
  <dc:creator>Tsyganets</dc:creator>
  <cp:keywords/>
  <dc:description/>
  <cp:lastModifiedBy>O.Kislenko</cp:lastModifiedBy>
  <cp:revision>5</cp:revision>
  <cp:lastPrinted>2015-05-13T09:50:00Z</cp:lastPrinted>
  <dcterms:created xsi:type="dcterms:W3CDTF">2015-05-13T09:27:00Z</dcterms:created>
  <dcterms:modified xsi:type="dcterms:W3CDTF">2015-05-13T11:42:00Z</dcterms:modified>
</cp:coreProperties>
</file>