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7CC" w:rsidRPr="001847CC" w:rsidRDefault="001847CC" w:rsidP="001847CC">
      <w:pPr>
        <w:spacing w:before="100" w:beforeAutospacing="1" w:line="240" w:lineRule="auto"/>
        <w:ind w:firstLine="0"/>
        <w:jc w:val="center"/>
        <w:rPr>
          <w:rFonts w:ascii="Times New Roman" w:eastAsia="Times New Roman" w:hAnsi="Times New Roman"/>
          <w:sz w:val="24"/>
          <w:szCs w:val="24"/>
          <w:lang w:eastAsia="uk-UA"/>
        </w:rPr>
      </w:pPr>
      <w:r w:rsidRPr="001847CC">
        <w:rPr>
          <w:rFonts w:ascii="Verdana" w:eastAsia="Times New Roman" w:hAnsi="Verdana"/>
          <w:b/>
          <w:bCs/>
          <w:color w:val="000000"/>
          <w:sz w:val="24"/>
          <w:szCs w:val="24"/>
          <w:lang w:eastAsia="uk-UA"/>
        </w:rPr>
        <w:t>Статистичні публікації Держстату, які містять інформацію про дітей</w:t>
      </w:r>
    </w:p>
    <w:p w:rsidR="001847CC" w:rsidRPr="001847CC" w:rsidRDefault="001847CC" w:rsidP="001847CC">
      <w:pPr>
        <w:spacing w:before="100" w:beforeAutospacing="1" w:line="240" w:lineRule="auto"/>
        <w:ind w:firstLine="0"/>
        <w:jc w:val="center"/>
        <w:rPr>
          <w:rFonts w:ascii="Times New Roman" w:eastAsia="Times New Roman" w:hAnsi="Times New Roman"/>
          <w:sz w:val="24"/>
          <w:szCs w:val="24"/>
          <w:lang w:eastAsia="uk-UA"/>
        </w:rPr>
      </w:pPr>
      <w:r w:rsidRPr="001847CC">
        <w:rPr>
          <w:rFonts w:ascii="Verdana" w:eastAsia="Times New Roman" w:hAnsi="Verdana"/>
          <w:color w:val="000000"/>
          <w:sz w:val="20"/>
          <w:szCs w:val="20"/>
          <w:lang w:eastAsia="uk-UA"/>
        </w:rPr>
        <w:t>(розміщені на офіційному веб-сайті Держстату (www.ukrstat.gov.ua ) у розділі "Публікації")</w:t>
      </w:r>
    </w:p>
    <w:p w:rsidR="001847CC" w:rsidRPr="001847CC" w:rsidRDefault="001847CC" w:rsidP="001847CC">
      <w:pPr>
        <w:spacing w:before="100" w:beforeAutospacing="1" w:line="240" w:lineRule="auto"/>
        <w:ind w:firstLine="0"/>
        <w:jc w:val="center"/>
        <w:rPr>
          <w:rFonts w:ascii="Times New Roman" w:eastAsia="Times New Roman" w:hAnsi="Times New Roman"/>
          <w:sz w:val="24"/>
          <w:szCs w:val="24"/>
          <w:lang w:eastAsia="uk-UA"/>
        </w:rPr>
      </w:pPr>
      <w:r w:rsidRPr="001847CC">
        <w:rPr>
          <w:rFonts w:ascii="Verdana" w:eastAsia="Times New Roman" w:hAnsi="Verdana"/>
          <w:b/>
          <w:bCs/>
          <w:color w:val="000000"/>
          <w:sz w:val="20"/>
          <w:szCs w:val="20"/>
          <w:lang w:eastAsia="uk-UA"/>
        </w:rPr>
        <w:t> </w:t>
      </w:r>
    </w:p>
    <w:tbl>
      <w:tblPr>
        <w:tblW w:w="5000" w:type="pct"/>
        <w:tblCellMar>
          <w:left w:w="0" w:type="dxa"/>
          <w:right w:w="0" w:type="dxa"/>
        </w:tblCellMar>
        <w:tblLook w:val="04A0" w:firstRow="1" w:lastRow="0" w:firstColumn="1" w:lastColumn="0" w:noHBand="0" w:noVBand="1"/>
      </w:tblPr>
      <w:tblGrid>
        <w:gridCol w:w="3622"/>
        <w:gridCol w:w="6443"/>
      </w:tblGrid>
      <w:tr w:rsidR="001847CC" w:rsidRPr="001847CC" w:rsidTr="0057646A">
        <w:tc>
          <w:tcPr>
            <w:tcW w:w="3622" w:type="dxa"/>
            <w:tcMar>
              <w:top w:w="0" w:type="dxa"/>
              <w:left w:w="108" w:type="dxa"/>
              <w:bottom w:w="0" w:type="dxa"/>
              <w:right w:w="108" w:type="dxa"/>
            </w:tcMar>
            <w:hideMark/>
          </w:tcPr>
          <w:p w:rsidR="001847CC" w:rsidRPr="009D0772" w:rsidRDefault="001847CC" w:rsidP="001847CC">
            <w:pPr>
              <w:ind w:firstLine="0"/>
              <w:jc w:val="center"/>
              <w:rPr>
                <w:rFonts w:ascii="Times New Roman" w:hAnsi="Times New Roman"/>
                <w:b/>
                <w:sz w:val="24"/>
                <w:szCs w:val="24"/>
              </w:rPr>
            </w:pPr>
            <w:r w:rsidRPr="009D0772">
              <w:rPr>
                <w:rFonts w:ascii="Times New Roman" w:hAnsi="Times New Roman"/>
                <w:b/>
                <w:sz w:val="24"/>
                <w:szCs w:val="24"/>
              </w:rPr>
              <w:t>Розділ статистики</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center"/>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Інформація щодо дітей та сімей з дітьми, яка вміщується в публікації</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1. Демографічна та соціальна статистика</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Доходи та умови життя</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xml:space="preserve">Статистичний збірники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"Витрати і ресурси домогосподарств України" (щорічний)</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інформацію, опрацьовану за річними підсумками ОУЖД, щодо рівня добробуту, який склався в різних групах домогосподарств, в т. ч. - домогосподарств з дітьми. Наводяться соціально - демографічні характеристики населення, дані щодо складу та чисельності усіх основних типів домогосподарств з дітьми, структури їх грошових та сукупних витрат, доходів і ресурсів, споживання продуктів харчування та частки спожитих продуктів, вироблених в особистих підсобних господарствах, а також дані щодо енергетичної цінності і вмісту поживних речовин у спожитих продуктах харчування.</w:t>
            </w:r>
          </w:p>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 xml:space="preserve">Також у збірнику наведені розподіли домогосподарств з дітьми залежно від рівня матеріальної забезпеченості (грошових доходів та сукупних ресурсів) та за кількістю  дітей; дані щодо кількості домогосподарств з різним числом дітей у складі, рівень середньодушових доходів в яких нижче прожиткового мінімуму; розподіл дітей до 18 років за інтервальними та </w:t>
            </w:r>
            <w:proofErr w:type="spellStart"/>
            <w:r w:rsidRPr="001847CC">
              <w:rPr>
                <w:rFonts w:ascii="Verdana" w:eastAsia="Times New Roman" w:hAnsi="Verdana"/>
                <w:sz w:val="20"/>
                <w:szCs w:val="20"/>
                <w:lang w:eastAsia="uk-UA"/>
              </w:rPr>
              <w:t>децильними</w:t>
            </w:r>
            <w:proofErr w:type="spellEnd"/>
            <w:r w:rsidRPr="001847CC">
              <w:rPr>
                <w:rFonts w:ascii="Verdana" w:eastAsia="Times New Roman" w:hAnsi="Verdana"/>
                <w:sz w:val="20"/>
                <w:szCs w:val="20"/>
                <w:lang w:eastAsia="uk-UA"/>
              </w:rPr>
              <w:t xml:space="preserve"> (10%-ми) групами доходів та ресурсів; дані щодо числа дітей, рівень середньодушових доходів (ресурсів) яких нижче прожиткового мінімуму. </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"Самооцінка домогосподарствами України рівня своїх доходів" (щорічний)</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інформацію, опрацьовану за річними підсумками ОУЖД в компіляції з результатами опитування домогосподарств з дітьми щодо суб’єктивного визначення рівня достатності їхніх доходів для задоволення основних потреб. У бюлетені наведені розподіли усіх типів домогосподарств з дітьми, за:</w:t>
            </w:r>
          </w:p>
          <w:p w:rsidR="001847CC" w:rsidRPr="001847CC" w:rsidRDefault="001847CC" w:rsidP="001847CC">
            <w:pPr>
              <w:spacing w:line="240" w:lineRule="auto"/>
              <w:ind w:firstLine="464"/>
              <w:rPr>
                <w:rFonts w:ascii="Times New Roman" w:eastAsia="Times New Roman" w:hAnsi="Times New Roman"/>
                <w:sz w:val="24"/>
                <w:szCs w:val="24"/>
                <w:lang w:eastAsia="uk-UA"/>
              </w:rPr>
            </w:pPr>
            <w:r w:rsidRPr="001847CC">
              <w:rPr>
                <w:rFonts w:ascii="Verdana" w:eastAsia="Times New Roman" w:hAnsi="Verdana"/>
                <w:sz w:val="20"/>
                <w:szCs w:val="20"/>
                <w:lang w:eastAsia="uk-UA"/>
              </w:rPr>
              <w:t>-самооцінкою рівня їх доходів;</w:t>
            </w:r>
          </w:p>
          <w:p w:rsidR="001847CC" w:rsidRPr="001847CC" w:rsidRDefault="001847CC" w:rsidP="001847CC">
            <w:pPr>
              <w:spacing w:line="240" w:lineRule="auto"/>
              <w:ind w:firstLine="464"/>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-напрямами першочергового спрямування коштів; </w:t>
            </w:r>
          </w:p>
          <w:p w:rsidR="001847CC" w:rsidRPr="001847CC" w:rsidRDefault="001847CC" w:rsidP="001847CC">
            <w:pPr>
              <w:spacing w:line="240" w:lineRule="auto"/>
              <w:ind w:firstLine="464"/>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-розміром середньодушового грошового доходу, який домогосподарство вважає достатнім, щоб не відчувати себе бідними; </w:t>
            </w:r>
          </w:p>
          <w:p w:rsidR="001847CC" w:rsidRPr="001847CC" w:rsidRDefault="001847CC" w:rsidP="001847CC">
            <w:pPr>
              <w:spacing w:line="240" w:lineRule="auto"/>
              <w:ind w:firstLine="464"/>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-розміром середньодушового грошового доходу, який, за оцінкою домогосподарств, відповідає майновому становищу середнього класу; </w:t>
            </w:r>
          </w:p>
          <w:p w:rsidR="001847CC" w:rsidRPr="001847CC" w:rsidRDefault="001847CC" w:rsidP="001847CC">
            <w:pPr>
              <w:spacing w:line="240" w:lineRule="auto"/>
              <w:ind w:firstLine="464"/>
              <w:rPr>
                <w:rFonts w:ascii="Times New Roman" w:eastAsia="Times New Roman" w:hAnsi="Times New Roman"/>
                <w:sz w:val="24"/>
                <w:szCs w:val="24"/>
                <w:lang w:eastAsia="uk-UA"/>
              </w:rPr>
            </w:pPr>
            <w:r w:rsidRPr="001847CC">
              <w:rPr>
                <w:rFonts w:ascii="Verdana" w:eastAsia="Times New Roman" w:hAnsi="Verdana"/>
                <w:sz w:val="20"/>
                <w:szCs w:val="20"/>
                <w:lang w:eastAsia="uk-UA"/>
              </w:rPr>
              <w:t>-економічними очікуваннями на наступні 12 місяців;</w:t>
            </w:r>
          </w:p>
          <w:p w:rsidR="001847CC" w:rsidRPr="001847CC" w:rsidRDefault="001847CC" w:rsidP="001847CC">
            <w:pPr>
              <w:spacing w:line="240" w:lineRule="auto"/>
              <w:ind w:firstLine="464"/>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-найбільш значущими для домогосподарств суспільними та особистими цінностями. </w:t>
            </w:r>
          </w:p>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Також в розрізі різних за кількістю дітей домогосподарств представлена інформація щодо соціальної самоідентифікації домогосподарств (заможні, представники середнього класу, небідні, але ще не представники середнього класу, бідні), а також щодо обмежень споживчих можливостей через нестачу коштів.</w:t>
            </w:r>
          </w:p>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Збірник містить методологічні пояснення, визначення основних понять і термінів, а також характеристику якості оцінок окремих показників.</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lastRenderedPageBreak/>
              <w:t>"Самооцінка населенням стану здоров'я та рівня доступності окремих видів медичної допомоги" (щорічний)</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інформацію, опрацьовану за підсумками ОУЖД за 9 місяців у компіляції з результатами опитування членів домогосподарств з дітьми щодо самооцінки стану здоров’я, наявності хронічних захворювань або проблем зі здоров’ям, впливу захворювань на повсякденну працездатність та життєву активність. У збірнику наведена інформація щодо рівнів доступності медичної допомоги, можливості придбання ліків і медичного приладдя окремими групами домогосподарств з дітьми, а також причин з яких вони виявилися недоступними. Збірник містить показники народжуваності дітей жінками у віці 15років і старшому (в т. ч. окремо виділена група жінок у віці 15-19 років); дані щодо розповсюдженості тютюнокуріння по основних типах домогосподарств з дітьми та серед населення в цілому (а також серед міського та сільського) у віці 12 років і старшому (в т. ч. окремо виділені групи дітей у віці 12-13 років, хлопців у віці 14-15 та 16-17 років та групи дівчат такого ж віку). Збірник містить методологічні пояснення, визначення основних понять і термінів, а також характеристику якості оцінок окремих показників.</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"Наявність у домогосподарствах товарів тривалого користування" (один раз на 2 роки)</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інформацію, опрацьовану за підсумками ОУЖД за 9 місяців, в компіляції з результатами опитування домогосподарств щодо наявності товарів тривалого користування (холодильники, пральні машини, телевізори, комп'ютери, ноутбуки, автомобілі, кондиціонери, мобільні телефони та ін.). Наведено показники забезпеченості в різних групах домогосподарств з дітьми цими товарами й окремі характеристики цих товарів: вітчизняного або імпортного виробництва, термін користування тощо. Збірник містить методологічні пояснення, визначення основних понять і термінів, а також характеристику якості оцінок окремих показників.</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"Соціально-демографічні характеристики домогосподарств України" (щорічний)</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інформацію, опрацьовану за результатами першого контакту (основного інтерв'ю) ОУЖД. У збірнику наведена інформація щодо кількості домогосподарств з дітьми в цілому, по регіонах та за типом місцевості проживання, за типом домогосподарств, а також щодо середнього розміру таких домогосподарств. Крім того, міститься інформація щодо обладнання житла домогосподарств з дітьми, ступеня задоволення своїми житловими умовами (різних типів домогосподарств залежно від кількості дітей та за регіоном проживання), а також щодо частки дітей від 6 до 18 років, які займаються фізкультурою та спортом не менше одного разу на тиждень. Надано методологічні пояснення, визначення основних понять і термінів.</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Доповіді</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"Витрати і ресурси домогосподарств України" (квартальна)</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 xml:space="preserve">Містить аналіз інформації, опрацьованої за кумулятивними підсумками ОУЖД за І квартал, І півріччя та за 9 місяців, щодо рівня добробуту, який склався в цілому в групі домогосподарств з дітьми. Наводяться структури їх грошових та сукупних витрат, доходів і ресурсів, а також щодо споживання продуктів харчування, а також стислий аналіз в динаміці та в порівнянні з іншими групами домогосподарств. </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"Самооцінка населенням стану здоров’я та рівня доступності </w:t>
            </w:r>
            <w:r w:rsidRPr="001847CC">
              <w:rPr>
                <w:rFonts w:ascii="Verdana" w:eastAsia="Times New Roman" w:hAnsi="Verdana"/>
                <w:sz w:val="20"/>
                <w:szCs w:val="20"/>
                <w:lang w:eastAsia="uk-UA"/>
              </w:rPr>
              <w:lastRenderedPageBreak/>
              <w:t>окремих видів медичної допомоги" (щорічна)</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lastRenderedPageBreak/>
              <w:t xml:space="preserve">Містить аналіз інформації, опрацьованої за підсумками ОУЖД за 9 місяців, в компіляції з результатами опитування </w:t>
            </w:r>
            <w:r w:rsidRPr="001847CC">
              <w:rPr>
                <w:rFonts w:ascii="Verdana" w:eastAsia="Times New Roman" w:hAnsi="Verdana"/>
                <w:sz w:val="20"/>
                <w:szCs w:val="20"/>
                <w:lang w:eastAsia="uk-UA"/>
              </w:rPr>
              <w:lastRenderedPageBreak/>
              <w:t>домогосподарств щодо самооцінки стану здоров’я, наявності хронічних захворювань або проблем зі здоров’ям, в розрізі статево - вікових груп дітей  (дівчата-підлітки та хлопці-підлітки у віці 14-17 років, діти у віці 7-13, 3-6 років та до 3-х років).Наведена інформація щодо рівнів доступності медичної допомоги, можливості придбання ліків і медичного приладдя в групі домогосподарств з дітьми, а також причин з яких вони виявилися недоступними. Містяться показники народжуваності дітей жінками у віці 15 років і старшому (в т. ч. окремо виділена група жінок у віці 15-19 років); дані щодо розповсюдженості тютюнокуріння по  домогосподарствах з дітьми. Представлено стислий аналіз в динаміці.</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lastRenderedPageBreak/>
              <w:t>"Соціально-демографічні характеристики домогосподарств України" (один раз на рік)</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аналіз інформації, опрацьованої за підсумками  першого контакту (основного інтерв'ю) ОУЖД щодо характеристик домогосподарств з дітьми в цілому, по регіонах, за типом місцевості проживання, за типом домогосподарств, в т. ч. неповних сімей. Наведена інформація щодо обладнання житла домогосподарств з дітьми, ступеня задоволення своїми житловими умовами.</w:t>
            </w:r>
          </w:p>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Представлено стислий аналіз в динаміці та в порівнянні з іншими групами домогосподарств.</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"Самооцінка домогосподарствами рівня своїх доходів" (один раз на рік)</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аналіз інформації, опрацьованої за підсумками ОУЖД за рік, в компіляції з результатами опитування домогосподарств з дітьми щодо суб’єктивного визначення рівня достатності їхніх доходів для задоволення основних потреб. Представлено стислий аналіз в динаміці та в порівнянні з іншими групами домогосподарств.</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"Соціально-економічне становище домогосподарств України" (за даними вибіркового обстеження умов життя домогосподарств)</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аналіз інформації, опрацьованої за тематичними опитуваннями та за річними підсумками ОУЖД, щодо рівня добробуту, який склався в різних групах домогосподарств, в т. ч. - домогосподарств з дітьми. Наводяться соціально - демографічні характеристики складу та чисельності усіх основних типів домогосподарств з дітьми (з числа вказаних у п., 1.1.2), структури їх грошових та сукупних витрат, доходів і ресурсів, споживання продуктів харчування та частки спожитих продуктів, вироблених в особистих підсобних господарствах, а також дані щодо енергетичної цінності і вмісту поживних речовин у спожитих продуктах харчування. Також наведені дані щодо доступу домогосподарств з дітьми до Інтернету, розподіл користувачів за місцем доступу та метою користування Інтернетом. Крім того, міститься інформація щодо наявності в домогосподарствах з дітьми товарів тривалого користування. Представлено стислий аналіз в динаміці та в порівнянні з іншими групами домогосподарств.</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"Наявність у домогосподарствах товарів тривалого користування" (один раз на 2 роки)</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аналіз інформації, опрацьованої за підсумками ОУЖД за 9 місяців, в компіляції з результатами опитування домогосподарств щодо наявності товарів тривалого користування та їх характеристики. Представлено стислий аналіз ситуації в групі домогосподарств з дітьми в динаміці та в порівнянні з іншими групами домогосподарств.</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"Самооцінка домогосподарствами </w:t>
            </w:r>
            <w:r w:rsidRPr="001847CC">
              <w:rPr>
                <w:rFonts w:ascii="Verdana" w:eastAsia="Times New Roman" w:hAnsi="Verdana"/>
                <w:sz w:val="20"/>
                <w:szCs w:val="20"/>
                <w:lang w:eastAsia="uk-UA"/>
              </w:rPr>
              <w:lastRenderedPageBreak/>
              <w:t>доступності окремих товарів та послуг" (один раз на 2 роки)</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lastRenderedPageBreak/>
              <w:t xml:space="preserve">Містить аналіз інформації, опрацьованої за підсумками ОУЖД за рік, в компіляції з результатами опитування домогосподарств з дітьми щодо доступності для них </w:t>
            </w:r>
            <w:r w:rsidRPr="001847CC">
              <w:rPr>
                <w:rFonts w:ascii="Verdana" w:eastAsia="Times New Roman" w:hAnsi="Verdana"/>
                <w:sz w:val="20"/>
                <w:szCs w:val="20"/>
                <w:lang w:eastAsia="uk-UA"/>
              </w:rPr>
              <w:lastRenderedPageBreak/>
              <w:t xml:space="preserve">окремих товарів та  послуг. Доповідь містить оцінку сприйняття домогосподарствами з дітьми ознак бідності та </w:t>
            </w:r>
            <w:proofErr w:type="spellStart"/>
            <w:r w:rsidRPr="001847CC">
              <w:rPr>
                <w:rFonts w:ascii="Verdana" w:eastAsia="Times New Roman" w:hAnsi="Verdana"/>
                <w:sz w:val="20"/>
                <w:szCs w:val="20"/>
                <w:lang w:eastAsia="uk-UA"/>
              </w:rPr>
              <w:t>депривацій</w:t>
            </w:r>
            <w:proofErr w:type="spellEnd"/>
            <w:r w:rsidRPr="001847CC">
              <w:rPr>
                <w:rFonts w:ascii="Verdana" w:eastAsia="Times New Roman" w:hAnsi="Verdana"/>
                <w:sz w:val="20"/>
                <w:szCs w:val="20"/>
                <w:lang w:eastAsia="uk-UA"/>
              </w:rPr>
              <w:t xml:space="preserve"> (позбавлень) у сфері їхніх споживчих можливостей за існуючих у суспільстві стандартів, а також аналіз поширення серед них окремих проявів позбавлення в частині можливостей задоволення не тільки мінімально необхідних фізіологічних потреб, а й потреб, пов’язаних із розвитком особистості та забезпеченням належного рівня комфортності існування. Наведено аналіз поширення в домогосподарствах з дітьми економічних </w:t>
            </w:r>
            <w:proofErr w:type="spellStart"/>
            <w:r w:rsidRPr="001847CC">
              <w:rPr>
                <w:rFonts w:ascii="Verdana" w:eastAsia="Times New Roman" w:hAnsi="Verdana"/>
                <w:sz w:val="20"/>
                <w:szCs w:val="20"/>
                <w:lang w:eastAsia="uk-UA"/>
              </w:rPr>
              <w:t>депривацій</w:t>
            </w:r>
            <w:proofErr w:type="spellEnd"/>
            <w:r w:rsidRPr="001847CC">
              <w:rPr>
                <w:rFonts w:ascii="Verdana" w:eastAsia="Times New Roman" w:hAnsi="Verdana"/>
                <w:sz w:val="20"/>
                <w:szCs w:val="20"/>
                <w:lang w:eastAsia="uk-UA"/>
              </w:rPr>
              <w:t xml:space="preserve"> (позбавлень через недостатність коштів задовольнити потреби у харчуванні, у придбанні одягу та взуття, ліків та медичного приладдя, у забезпеченні належних житлових умов, в оплаті рахунків за житло, за медичні послуги, для отримання будь-якої професійної освіти, для сімейного відпочинку  не вдома, а також не з родичами в їхньому  житлі, щонайменше один тиждень на рік). В доповіді також наявна інформація щодо ступеня поширення серед домогосподарств з дітьми позбавлень, зумовлених відсутністю розвиненої інфраструктури (відсутність поблизу житла медичної установи чи аптеки, об’єктів роздрібної торгівлі, закладів, що надають побутові послуги, дошкільних закладів, незабезпеченість населеного пункту своєчасними послугами швидкої медичної допомоги, відсутність регулярного щоденного транспортного сполучення з іншим населеним пунктом із більш розвиненою інфраструктурою). Наведено аналіз поширення в різних типах домогосподарств з дітьми бідності  за умовами життя (за критерієм наявності в домогосподарстві 4 та більше з 18 ознак </w:t>
            </w:r>
            <w:proofErr w:type="spellStart"/>
            <w:r w:rsidRPr="001847CC">
              <w:rPr>
                <w:rFonts w:ascii="Verdana" w:eastAsia="Times New Roman" w:hAnsi="Verdana"/>
                <w:sz w:val="20"/>
                <w:szCs w:val="20"/>
                <w:lang w:eastAsia="uk-UA"/>
              </w:rPr>
              <w:t>депривацій</w:t>
            </w:r>
            <w:proofErr w:type="spellEnd"/>
            <w:r w:rsidRPr="001847CC">
              <w:rPr>
                <w:rFonts w:ascii="Verdana" w:eastAsia="Times New Roman" w:hAnsi="Verdana"/>
                <w:sz w:val="20"/>
                <w:szCs w:val="20"/>
                <w:lang w:eastAsia="uk-UA"/>
              </w:rPr>
              <w:t xml:space="preserve">).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lastRenderedPageBreak/>
              <w:t>Культура</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57646A">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xml:space="preserve">Статистичні </w:t>
            </w:r>
            <w:r w:rsidR="0057646A">
              <w:rPr>
                <w:rFonts w:ascii="Verdana" w:eastAsia="Times New Roman" w:hAnsi="Verdana"/>
                <w:i/>
                <w:iCs/>
                <w:sz w:val="20"/>
                <w:szCs w:val="20"/>
                <w:lang w:eastAsia="uk-UA"/>
              </w:rPr>
              <w:t>збірники</w:t>
            </w:r>
            <w:r w:rsidRPr="001847CC">
              <w:rPr>
                <w:rFonts w:ascii="Verdana" w:eastAsia="Times New Roman" w:hAnsi="Verdana"/>
                <w:i/>
                <w:iCs/>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"Заклади культури, мистецтва, фізкультури та спорту України"</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інформацію щодо діяльності музеїв та кількості їх відвідувачів, включаючи учнів, слухачів та студентів, у тому числі, обслуговуваних екскурсіями; діяльності театрів, зокрема дитячих та лялькових та їх відвідувачів; кількості концертних організацій та проведених концертів, у  тому числі для дітей, а також кількості дітей, які відвідали тематичні концерти; роботи цирків, зоопарків; мережі та контингенту шкіл естетичного виховання; спортивних шкіл для дітей та їх вихованців, фізкультурно-оздоровчої робити для дітей, кількості спортивних споруд, клубних формувань та кількості дітей, які в них беруть участь.</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Населені пункти та житло</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Статистичний збірник</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Times New Roman" w:eastAsia="Times New Roman" w:hAnsi="Times New Roman"/>
                <w:sz w:val="24"/>
                <w:szCs w:val="24"/>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"Соціально-економічне становище сільських населених пунктів"</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Містить дані п'ятого суцільного обстеження соціально-економічного становища сільських населених пунктів за формою державного статистичного спостереження № 1-село "Соціально-економічна характеристика сільського населеного пункту станом на 1 січня 2014 року", зокрема щодо кількості сільських населених пунктів, демографічної ситуації у сільській місцевості, зайнятості населення, наявності суб'єктів господарської діяльності, житлового фонду та житлових умов населення, умов життя населення, соціальної інфраструктури. Також у збірнику наводиться інформація про кількість сільських населених пунктів де не було дітей за їх віковими групами та народжених; де кількість померлих перевищує кількість народжених; кількість діючих за призначенням дошкільних та </w:t>
            </w:r>
            <w:r w:rsidRPr="001847CC">
              <w:rPr>
                <w:rFonts w:ascii="Verdana" w:eastAsia="Times New Roman" w:hAnsi="Verdana"/>
                <w:sz w:val="20"/>
                <w:szCs w:val="20"/>
                <w:lang w:eastAsia="uk-UA"/>
              </w:rPr>
              <w:lastRenderedPageBreak/>
              <w:t>загальноосвітніх навчальних закладів та кількість таких населених пунктів; кількість сіл, які не мають дошкільних та загальноосвітніх навчальних закладів, але мають відповідно дітей до 6 років та у віці 7-17 років; розподіл сіл, що не мають дошкільних та загальноосвітніх навчальних закладів, по їх відстані до найближчих населених пунктів, де такі заклади є.</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lastRenderedPageBreak/>
              <w:t>Населення та міграція</w:t>
            </w:r>
          </w:p>
        </w:tc>
        <w:tc>
          <w:tcPr>
            <w:tcW w:w="6443" w:type="dxa"/>
            <w:tcMar>
              <w:top w:w="0" w:type="dxa"/>
              <w:left w:w="108" w:type="dxa"/>
              <w:bottom w:w="0" w:type="dxa"/>
              <w:right w:w="108" w:type="dxa"/>
            </w:tcMar>
            <w:hideMark/>
          </w:tcPr>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Демографічний щорічник</w:t>
            </w:r>
            <w:r w:rsidRPr="001847CC">
              <w:rPr>
                <w:rFonts w:ascii="Verdana" w:eastAsia="Times New Roman" w:hAnsi="Verdana"/>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Times New Roman" w:eastAsia="Times New Roman" w:hAnsi="Times New Roman"/>
                <w:sz w:val="24"/>
                <w:szCs w:val="24"/>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"Населення України"</w:t>
            </w:r>
          </w:p>
        </w:tc>
        <w:tc>
          <w:tcPr>
            <w:tcW w:w="6443" w:type="dxa"/>
            <w:tcMar>
              <w:top w:w="0" w:type="dxa"/>
              <w:left w:w="108" w:type="dxa"/>
              <w:bottom w:w="0" w:type="dxa"/>
              <w:right w:w="108" w:type="dxa"/>
            </w:tcMar>
            <w:hideMark/>
          </w:tcPr>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Уміщує дані про чисельність населення за регіонами, міськими поселеннями і сільською місцевістю; статево-віковий склад населення, його розміщення на території країни; розподіл народжених за статтю, порядком народження та за віком матері й батька; кількість померлих за віком та причинами смерті; розподіл шлюбів за віком подружжя; міграцію населення; міжнародні порівняння.</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Статистичні збірники</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"Розподіл постійного населення України за статтю та віком"</w:t>
            </w:r>
          </w:p>
        </w:tc>
        <w:tc>
          <w:tcPr>
            <w:tcW w:w="6443" w:type="dxa"/>
            <w:tcMar>
              <w:top w:w="0" w:type="dxa"/>
              <w:left w:w="108" w:type="dxa"/>
              <w:bottom w:w="0" w:type="dxa"/>
              <w:right w:w="108" w:type="dxa"/>
            </w:tcMar>
            <w:hideMark/>
          </w:tcPr>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Наведено дані про чисельність та статево-віковий склад постійного населення за регіонами України, в містах з чисельністю постійного населення понад 100 тис. Дані про чисельність населення наведено за окремими віковими групами (0–14 років, 0–15 років, 0–17 років, 15–64 років), із розподілом за статтю та типом місцевості.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Освіта</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57646A">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xml:space="preserve">Статистичні </w:t>
            </w:r>
            <w:r w:rsidR="0057646A">
              <w:rPr>
                <w:rFonts w:ascii="Verdana" w:eastAsia="Times New Roman" w:hAnsi="Verdana"/>
                <w:i/>
                <w:iCs/>
                <w:sz w:val="20"/>
                <w:szCs w:val="20"/>
                <w:lang w:eastAsia="uk-UA"/>
              </w:rPr>
              <w:t>збірники</w:t>
            </w:r>
            <w:r w:rsidRPr="001847CC">
              <w:rPr>
                <w:rFonts w:ascii="Verdana" w:eastAsia="Times New Roman" w:hAnsi="Verdana"/>
                <w:i/>
                <w:iCs/>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"Дошкільна освіта України"</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Містить дані щодо мережі та діяльності  дошкільних навчальних закладів, зокрема видатків зведеного бюджету на освіту, кількості навчальних закладів та їх матеріально-технічної бази, кількості вихователів та вихованців, мов виховання, а також відносних показників охоплення дітей дошкільною освітою за віковими групами, гендерного паритету.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"Загальноосвітні навчальні заклади України"</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 xml:space="preserve">Містить дані щодо мережі та діяльності загальноосвітніх навчальних закладів, зокрема видатків зведеного бюджету на освіту, кількості навчальних закладів та їх матеріально-технічної бази, кількості вчителів та учнів із розподілом за видами навчальних закладів, типом місцевості, віком, мовами навчання, а також відносних показників охоплення дітей середньою освітою у загальноосвітніх навчальних закладів за віковими групами, гендерного паритету. </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57646A">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w:t>
            </w:r>
            <w:r w:rsidR="0057646A">
              <w:rPr>
                <w:rFonts w:ascii="Verdana" w:eastAsia="Times New Roman" w:hAnsi="Verdana"/>
                <w:sz w:val="20"/>
                <w:szCs w:val="20"/>
                <w:lang w:eastAsia="uk-UA"/>
              </w:rPr>
              <w:t>Вища освіта і Україні</w:t>
            </w:r>
            <w:r w:rsidRPr="001847CC">
              <w:rPr>
                <w:rFonts w:ascii="Verdana" w:eastAsia="Times New Roman" w:hAnsi="Verdana"/>
                <w:sz w:val="20"/>
                <w:szCs w:val="20"/>
                <w:lang w:eastAsia="uk-UA"/>
              </w:rPr>
              <w:t>"</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дані щодо мережі та діяльності  вищих навчальних закладів, зокрема видатків зведеного бюджету на освіту, кількості навчальних закладів за рівнями акредитації, формами власності та підпорядкуванням та їх матеріально-технічної бази, кількості педагогічних та науково-педагогічних працівники, кількості студентів із розподілом за спеціальностями, напрямами підготовки галузями знань, джерелами фінансування, формами навчання, віком, мовами навчання, курсами.</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"Національні рахунки освіти в Україні"</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аналітичний огляд з питань фінансування системи освіти та результати розрахунків витрат на освіту у вигляді стандартного набору таблиць, що показують рух фінансових потоків від одного учасника системи освіти до іншого за рівнями освіти відповідно до Міжнародної стандартної класифікації освіти (МСКО).</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Охорона здоров'я</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57646A">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xml:space="preserve">Статистичні </w:t>
            </w:r>
            <w:r w:rsidR="0057646A">
              <w:rPr>
                <w:rFonts w:ascii="Verdana" w:eastAsia="Times New Roman" w:hAnsi="Verdana"/>
                <w:i/>
                <w:iCs/>
                <w:sz w:val="20"/>
                <w:szCs w:val="20"/>
                <w:lang w:eastAsia="uk-UA"/>
              </w:rPr>
              <w:t>збірники</w:t>
            </w:r>
            <w:r w:rsidRPr="001847CC">
              <w:rPr>
                <w:rFonts w:ascii="Verdana" w:eastAsia="Times New Roman" w:hAnsi="Verdana"/>
                <w:i/>
                <w:iCs/>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lastRenderedPageBreak/>
              <w:t>"Травматизм на виробництві"</w:t>
            </w:r>
          </w:p>
        </w:tc>
        <w:tc>
          <w:tcPr>
            <w:tcW w:w="6443" w:type="dxa"/>
            <w:tcMar>
              <w:top w:w="0" w:type="dxa"/>
              <w:left w:w="108" w:type="dxa"/>
              <w:bottom w:w="0" w:type="dxa"/>
              <w:right w:w="108" w:type="dxa"/>
            </w:tcMar>
            <w:hideMark/>
          </w:tcPr>
          <w:p w:rsidR="001847CC" w:rsidRPr="001847CC" w:rsidRDefault="001847CC" w:rsidP="0057646A">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інформацію щодо кількості нещасних випадків на виробництві та потерпілих від нещасних випадків, які призвели до втрати працездатності на 1 робочий день чи більше, та від нещасних випадків зі смертельним наслідком, включаючи дітей до 18 років.</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Правосуддя та злочинність</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xml:space="preserve">Статистичний </w:t>
            </w:r>
            <w:r w:rsidR="002F16B2" w:rsidRPr="001847CC">
              <w:rPr>
                <w:rFonts w:ascii="Verdana" w:eastAsia="Times New Roman" w:hAnsi="Verdana"/>
                <w:i/>
                <w:iCs/>
                <w:sz w:val="20"/>
                <w:szCs w:val="20"/>
                <w:lang w:eastAsia="uk-UA"/>
              </w:rPr>
              <w:t>збірник</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Times New Roman" w:eastAsia="Times New Roman" w:hAnsi="Times New Roman"/>
                <w:sz w:val="24"/>
                <w:szCs w:val="24"/>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"Адміністративні правопорушення в Україні"</w:t>
            </w:r>
          </w:p>
        </w:tc>
        <w:tc>
          <w:tcPr>
            <w:tcW w:w="6443" w:type="dxa"/>
            <w:tcMar>
              <w:top w:w="0" w:type="dxa"/>
              <w:left w:w="108" w:type="dxa"/>
              <w:bottom w:w="0" w:type="dxa"/>
              <w:right w:w="108" w:type="dxa"/>
            </w:tcMar>
            <w:hideMark/>
          </w:tcPr>
          <w:p w:rsidR="001847CC" w:rsidRPr="001847CC" w:rsidRDefault="001847CC" w:rsidP="001847CC">
            <w:pPr>
              <w:keepNext/>
              <w:spacing w:line="240" w:lineRule="auto"/>
              <w:ind w:right="227"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дані про розгляд справ про адміністративні правопорушення та осіб, які притягнуті до адміністративної відповідальності, у тому числі неповнолітніх до яких застосовуються заходи впливу відповідно до Кодексу України про адміністративні правопорушення (КУпАП) з розподілом за статтями  КУпАП та</w:t>
            </w:r>
            <w:r w:rsidRPr="001847CC">
              <w:rPr>
                <w:rFonts w:ascii="Verdana" w:eastAsia="Times New Roman" w:hAnsi="Verdana"/>
                <w:color w:val="000000"/>
                <w:sz w:val="20"/>
                <w:szCs w:val="20"/>
                <w:lang w:eastAsia="uk-UA"/>
              </w:rPr>
              <w:t xml:space="preserve"> органами, що мають право розглядати справи про адміністративні правопорушення.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Ринок праці</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Зайнятість та безробіття</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Статистичний збірник</w:t>
            </w:r>
            <w:r w:rsidRPr="001847CC">
              <w:rPr>
                <w:rFonts w:ascii="Verdana" w:eastAsia="Times New Roman" w:hAnsi="Verdana"/>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Times New Roman" w:eastAsia="Times New Roman" w:hAnsi="Times New Roman"/>
                <w:sz w:val="24"/>
                <w:szCs w:val="24"/>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"Економічна активність населення України"</w:t>
            </w:r>
          </w:p>
        </w:tc>
        <w:tc>
          <w:tcPr>
            <w:tcW w:w="6443" w:type="dxa"/>
            <w:tcMar>
              <w:top w:w="0" w:type="dxa"/>
              <w:left w:w="108" w:type="dxa"/>
              <w:bottom w:w="0" w:type="dxa"/>
              <w:right w:w="108" w:type="dxa"/>
            </w:tcMar>
            <w:hideMark/>
          </w:tcPr>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кількісні та якісні показники економічної активності, зайнятості та безробіття населення, у тому числі молоді у віці 15-24 років в розрізі регіонів, за статтю та місцем проживання за матеріалами вибіркового обстеження населення (домогосподарств) з питань економічної активності. Також висвітлюються питання соціального захисту безробітних, попиту працівників за професійними групами та видами економічної діяльності. Окремі показники наведено у порівнянні з іншими країнами.</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Соціальний захист</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Статистичні збірники</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"Захист дітей, які потребують особливої уваги суспільства"</w:t>
            </w:r>
          </w:p>
        </w:tc>
        <w:tc>
          <w:tcPr>
            <w:tcW w:w="6443" w:type="dxa"/>
            <w:tcMar>
              <w:top w:w="0" w:type="dxa"/>
              <w:left w:w="108" w:type="dxa"/>
              <w:bottom w:w="0" w:type="dxa"/>
              <w:right w:w="108" w:type="dxa"/>
            </w:tcMar>
            <w:hideMark/>
          </w:tcPr>
          <w:p w:rsidR="001847CC" w:rsidRDefault="001847CC" w:rsidP="001847CC">
            <w:pPr>
              <w:autoSpaceDE w:val="0"/>
              <w:autoSpaceDN w:val="0"/>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інформацію про становище соціально незахищених, знедолених дітей, зокрема про кількість дітей-сиріт та дітей, позбавлених батьківського піклування, дітей-інвалідів, ВІЛ-інфікованих та хворих на СНІД, дітей, що скоїли злочини.</w:t>
            </w:r>
          </w:p>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"Діти, жінки та сім’я в Україні"</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структуровану систему показників, що характеризують становище дітей, жінок та сім'ї в Україні та основних тенденцій, що склалися за останні роки. Дані наведено в цілому по країні та регіонах.</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"Соціальні індикатори рівня життя населення"</w:t>
            </w:r>
          </w:p>
        </w:tc>
        <w:tc>
          <w:tcPr>
            <w:tcW w:w="6443" w:type="dxa"/>
            <w:tcMar>
              <w:top w:w="0" w:type="dxa"/>
              <w:left w:w="108" w:type="dxa"/>
              <w:bottom w:w="0" w:type="dxa"/>
              <w:right w:w="108" w:type="dxa"/>
            </w:tcMar>
            <w:hideMark/>
          </w:tcPr>
          <w:p w:rsidR="001847CC" w:rsidRDefault="001847CC" w:rsidP="001847CC">
            <w:pPr>
              <w:autoSpaceDE w:val="0"/>
              <w:autoSpaceDN w:val="0"/>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структуровану систему показників-індикаторів, що характеризують рівень життя населення країни та його окремих верств. Інформація згрупована за такими напрямами: макроекономічні показники, дані демографічної статистики, показники зайнятості та доходів населення, інформація про житлові умови, стан здоров’я та медичне обслуговування, освіту, показники пенсійного забезпечення та соціальної напруги. Дані наведено в цілому по країні та регіонах. Дані щодо дітей наводяться у таких розділах: демографічна ситуація, освіта, рівень та структура особистого споживання, житлові умови населення.</w:t>
            </w:r>
          </w:p>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"Жінки і чоловіки в Україні"</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структуровану систему показників-індикаторів, що характеризують рівень соціально-економічного забезпечення жінок та чоловіків. Окремо наводяться порівняння з країнами ЄС. Дані наведено в цілому по країні та регіонах. Дані щодо дітей наводяться у таких розділах: демографічні показники, охорона здоров’я, освіта, зайнятість та безробіття, жінки та чоловіки регіонів.</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lastRenderedPageBreak/>
              <w:t>2. Економічна статистика</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Туризм</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620549">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xml:space="preserve">Статистичні </w:t>
            </w:r>
            <w:r w:rsidR="00620549">
              <w:rPr>
                <w:rFonts w:ascii="Verdana" w:eastAsia="Times New Roman" w:hAnsi="Verdana"/>
                <w:i/>
                <w:iCs/>
                <w:sz w:val="20"/>
                <w:szCs w:val="20"/>
                <w:lang w:eastAsia="uk-UA"/>
              </w:rPr>
              <w:t>збірники</w:t>
            </w:r>
            <w:bookmarkStart w:id="0" w:name="_GoBack"/>
            <w:bookmarkEnd w:id="0"/>
            <w:r w:rsidRPr="001847CC">
              <w:rPr>
                <w:rFonts w:ascii="Verdana" w:eastAsia="Times New Roman" w:hAnsi="Verdana"/>
                <w:i/>
                <w:iCs/>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"Оздоровлення дітей у дитячих закладах оздоровлення та відпочинку влітку"</w:t>
            </w:r>
          </w:p>
        </w:tc>
        <w:tc>
          <w:tcPr>
            <w:tcW w:w="6443" w:type="dxa"/>
            <w:tcMar>
              <w:top w:w="0" w:type="dxa"/>
              <w:left w:w="108" w:type="dxa"/>
              <w:bottom w:w="0" w:type="dxa"/>
              <w:right w:w="108" w:type="dxa"/>
            </w:tcMar>
            <w:hideMark/>
          </w:tcPr>
          <w:p w:rsidR="001847CC" w:rsidRDefault="001847CC" w:rsidP="001847CC">
            <w:pPr>
              <w:spacing w:line="240" w:lineRule="auto"/>
              <w:ind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інформацію щодо кількості дитячих закладів оздоровлення та відпочинку із розподілом їх за типами, кількості розміщених дітей, у тому числі окремих категорій дітей, відпочинок та оздоровлення яких фінансується коштами державного та місцевого бюджетів, тривалості перебування, матеріально-технічної бази закладів, середньої вартості одного людино-дня перебування дитини у закладі.</w:t>
            </w:r>
          </w:p>
          <w:p w:rsidR="001847CC" w:rsidRPr="001847CC" w:rsidRDefault="001847CC" w:rsidP="001847CC">
            <w:pPr>
              <w:spacing w:line="240" w:lineRule="auto"/>
              <w:ind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"Колективні засоби розміщування в Україні"</w:t>
            </w:r>
          </w:p>
        </w:tc>
        <w:tc>
          <w:tcPr>
            <w:tcW w:w="6443" w:type="dxa"/>
            <w:tcMar>
              <w:top w:w="0" w:type="dxa"/>
              <w:left w:w="108" w:type="dxa"/>
              <w:bottom w:w="0" w:type="dxa"/>
              <w:right w:w="108" w:type="dxa"/>
            </w:tcMar>
            <w:hideMark/>
          </w:tcPr>
          <w:p w:rsidR="001847CC" w:rsidRDefault="001847CC" w:rsidP="001847CC">
            <w:pPr>
              <w:spacing w:line="240" w:lineRule="auto"/>
              <w:ind w:right="-57" w:firstLine="289"/>
              <w:rPr>
                <w:rFonts w:ascii="Verdana" w:eastAsia="Times New Roman" w:hAnsi="Verdana"/>
                <w:sz w:val="20"/>
                <w:szCs w:val="20"/>
                <w:lang w:eastAsia="uk-UA"/>
              </w:rPr>
            </w:pPr>
            <w:r w:rsidRPr="001847CC">
              <w:rPr>
                <w:rFonts w:ascii="Verdana" w:eastAsia="Times New Roman" w:hAnsi="Verdana"/>
                <w:sz w:val="20"/>
                <w:szCs w:val="20"/>
                <w:lang w:eastAsia="uk-UA"/>
              </w:rPr>
              <w:t>Містить інформацію щодо мережі та діяльності колективних засобів розміщування, у тому числі дитячих санаторіїв, дитячих закладів оздоровлення цілорічної дії, дитячих центрів; кількості розміщених осіб за окремими категоріями, включаючи дітей; одноразової місткості та кількості номерів у колективних засобах розміщування, тривалості перебування дітей у колективних засобах розміщування,  а також інформацію щодо розподілу дітей за регіонами, з яких вони прибули на оздоровлення за звітний період.</w:t>
            </w:r>
          </w:p>
          <w:p w:rsidR="001847CC" w:rsidRPr="001847CC" w:rsidRDefault="001847CC" w:rsidP="001847CC">
            <w:pPr>
              <w:spacing w:line="240" w:lineRule="auto"/>
              <w:ind w:right="-57" w:firstLine="289"/>
              <w:rPr>
                <w:rFonts w:ascii="Times New Roman" w:eastAsia="Times New Roman" w:hAnsi="Times New Roman"/>
                <w:sz w:val="24"/>
                <w:szCs w:val="24"/>
                <w:lang w:eastAsia="uk-UA"/>
              </w:rPr>
            </w:pP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"Туристична діяльність в  Україні"</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інформацію щодо кількості туроператорів (</w:t>
            </w:r>
            <w:proofErr w:type="spellStart"/>
            <w:r w:rsidRPr="001847CC">
              <w:rPr>
                <w:rFonts w:ascii="Verdana" w:eastAsia="Times New Roman" w:hAnsi="Verdana"/>
                <w:sz w:val="20"/>
                <w:szCs w:val="20"/>
                <w:lang w:eastAsia="uk-UA"/>
              </w:rPr>
              <w:t>турагентів</w:t>
            </w:r>
            <w:proofErr w:type="spellEnd"/>
            <w:r w:rsidRPr="001847CC">
              <w:rPr>
                <w:rFonts w:ascii="Verdana" w:eastAsia="Times New Roman" w:hAnsi="Verdana"/>
                <w:sz w:val="20"/>
                <w:szCs w:val="20"/>
                <w:lang w:eastAsia="uk-UA"/>
              </w:rPr>
              <w:t>) та показників, що характеризують їх фінансово-господарську діяльність, а також дані стосовно кількості обслуговуваних осіб за видами туризму та метою поїздки, включаючи дітей.</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3. Багатогалузева статистична інформація</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Комплексні статистичні публікації</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 xml:space="preserve">Статистичний збірник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Times New Roman" w:eastAsia="Times New Roman" w:hAnsi="Times New Roman"/>
                <w:sz w:val="24"/>
                <w:szCs w:val="24"/>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"Україна у цифрах"</w:t>
            </w:r>
          </w:p>
        </w:tc>
        <w:tc>
          <w:tcPr>
            <w:tcW w:w="6443" w:type="dxa"/>
            <w:tcMar>
              <w:top w:w="0" w:type="dxa"/>
              <w:left w:w="108" w:type="dxa"/>
              <w:bottom w:w="0" w:type="dxa"/>
              <w:right w:w="108" w:type="dxa"/>
            </w:tcMar>
            <w:hideMark/>
          </w:tcPr>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основні показники соціально-економічного становища держави. Збірник сформовано з 21 розділу: дані щодо дітей та молоді наведено у таких  розділах:  населення та міграція, населені пункти та житло, освіта, правосуддя та злочинність.</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Збірник</w:t>
            </w:r>
            <w:r w:rsidRPr="001847CC">
              <w:rPr>
                <w:rFonts w:ascii="Verdana" w:eastAsia="Times New Roman" w:hAnsi="Verdana"/>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Times New Roman" w:eastAsia="Times New Roman" w:hAnsi="Times New Roman"/>
                <w:sz w:val="24"/>
                <w:szCs w:val="24"/>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"Статистичний щорічник України"</w:t>
            </w:r>
          </w:p>
        </w:tc>
        <w:tc>
          <w:tcPr>
            <w:tcW w:w="6443" w:type="dxa"/>
            <w:tcMar>
              <w:top w:w="0" w:type="dxa"/>
              <w:left w:w="108" w:type="dxa"/>
              <w:bottom w:w="0" w:type="dxa"/>
              <w:right w:w="108" w:type="dxa"/>
            </w:tcMar>
            <w:hideMark/>
          </w:tcPr>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Містить широкий спектр статистичних показників соціально-економічного стану держави у динаміці. Збірник сформовано з 28 розділів: Дані щодо дітей та молоді наведено у таких  розділах:  населення та міграція, ринок праці, доходи та умови життя, населені пункти та житло, освіта, охорона здоров’я та соціальний захист, культура, відпочинок, спорт і туризм, правосуддя та злочинність.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xml:space="preserve">Регіональна статистика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rPr>
                <w:rFonts w:ascii="Times New Roman" w:eastAsia="Times New Roman" w:hAnsi="Times New Roman"/>
                <w:sz w:val="24"/>
                <w:szCs w:val="24"/>
                <w:lang w:eastAsia="uk-UA"/>
              </w:rPr>
            </w:pPr>
            <w:r w:rsidRPr="001847CC">
              <w:rPr>
                <w:rFonts w:ascii="Verdana" w:eastAsia="Times New Roman" w:hAnsi="Verdana"/>
                <w:b/>
                <w:bCs/>
                <w:sz w:val="20"/>
                <w:szCs w:val="20"/>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Статистичний збірник</w:t>
            </w:r>
            <w:r w:rsidRPr="001847CC">
              <w:rPr>
                <w:rFonts w:ascii="Verdana" w:eastAsia="Times New Roman" w:hAnsi="Verdana"/>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Times New Roman" w:eastAsia="Times New Roman" w:hAnsi="Times New Roman"/>
                <w:sz w:val="24"/>
                <w:szCs w:val="24"/>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"Регіони України" </w:t>
            </w:r>
          </w:p>
        </w:tc>
        <w:tc>
          <w:tcPr>
            <w:tcW w:w="6443" w:type="dxa"/>
            <w:tcMar>
              <w:top w:w="0" w:type="dxa"/>
              <w:left w:w="108" w:type="dxa"/>
              <w:bottom w:w="0" w:type="dxa"/>
              <w:right w:w="108" w:type="dxa"/>
            </w:tcMar>
            <w:hideMark/>
          </w:tcPr>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Містить інформацію про соціально-економічне становище регіонів України у динаміці. Дані щодо дітей та молоді наведено у таких  розділах: населення та міграція, доходи та умови життя, освіта, культура, відпочинок і туризм, правосуддя та злочинність.</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i/>
                <w:iCs/>
                <w:sz w:val="20"/>
                <w:szCs w:val="20"/>
                <w:lang w:eastAsia="uk-UA"/>
              </w:rPr>
              <w:t>Статистичний бюлетень</w:t>
            </w:r>
            <w:r w:rsidRPr="001847CC">
              <w:rPr>
                <w:rFonts w:ascii="Verdana" w:eastAsia="Times New Roman" w:hAnsi="Verdana"/>
                <w:sz w:val="20"/>
                <w:szCs w:val="20"/>
                <w:lang w:eastAsia="uk-UA"/>
              </w:rPr>
              <w:t xml:space="preserve"> </w:t>
            </w:r>
          </w:p>
        </w:tc>
        <w:tc>
          <w:tcPr>
            <w:tcW w:w="6443" w:type="dxa"/>
            <w:tcMar>
              <w:top w:w="0" w:type="dxa"/>
              <w:left w:w="108" w:type="dxa"/>
              <w:bottom w:w="0" w:type="dxa"/>
              <w:right w:w="108" w:type="dxa"/>
            </w:tcMar>
            <w:hideMark/>
          </w:tcPr>
          <w:p w:rsidR="001847CC" w:rsidRPr="001847CC" w:rsidRDefault="001847CC" w:rsidP="001847CC">
            <w:pPr>
              <w:spacing w:line="240" w:lineRule="auto"/>
              <w:ind w:firstLine="289"/>
              <w:jc w:val="left"/>
              <w:rPr>
                <w:rFonts w:ascii="Times New Roman" w:eastAsia="Times New Roman" w:hAnsi="Times New Roman"/>
                <w:sz w:val="24"/>
                <w:szCs w:val="24"/>
                <w:lang w:eastAsia="uk-UA"/>
              </w:rPr>
            </w:pPr>
            <w:r w:rsidRPr="001847CC">
              <w:rPr>
                <w:rFonts w:ascii="Times New Roman" w:eastAsia="Times New Roman" w:hAnsi="Times New Roman"/>
                <w:sz w:val="24"/>
                <w:szCs w:val="24"/>
                <w:lang w:eastAsia="uk-UA"/>
              </w:rPr>
              <w:t> </w:t>
            </w:r>
          </w:p>
        </w:tc>
      </w:tr>
      <w:tr w:rsidR="001847CC" w:rsidRPr="001847CC" w:rsidTr="0057646A">
        <w:tc>
          <w:tcPr>
            <w:tcW w:w="3622" w:type="dxa"/>
            <w:tcMar>
              <w:top w:w="0" w:type="dxa"/>
              <w:left w:w="108" w:type="dxa"/>
              <w:bottom w:w="0" w:type="dxa"/>
              <w:right w:w="108" w:type="dxa"/>
            </w:tcMar>
            <w:hideMark/>
          </w:tcPr>
          <w:p w:rsidR="001847CC" w:rsidRPr="001847CC" w:rsidRDefault="001847CC" w:rsidP="001847CC">
            <w:pPr>
              <w:spacing w:before="100" w:beforeAutospacing="1" w:line="240" w:lineRule="auto"/>
              <w:ind w:firstLine="0"/>
              <w:jc w:val="left"/>
              <w:rPr>
                <w:rFonts w:ascii="Times New Roman" w:eastAsia="Times New Roman" w:hAnsi="Times New Roman"/>
                <w:sz w:val="24"/>
                <w:szCs w:val="24"/>
                <w:lang w:eastAsia="uk-UA"/>
              </w:rPr>
            </w:pPr>
            <w:r w:rsidRPr="001847CC">
              <w:rPr>
                <w:rFonts w:ascii="Verdana" w:eastAsia="Times New Roman" w:hAnsi="Verdana"/>
                <w:sz w:val="20"/>
                <w:szCs w:val="20"/>
                <w:lang w:eastAsia="uk-UA"/>
              </w:rPr>
              <w:t>"Регіональний людський розвиток"</w:t>
            </w:r>
          </w:p>
        </w:tc>
        <w:tc>
          <w:tcPr>
            <w:tcW w:w="6443" w:type="dxa"/>
            <w:tcMar>
              <w:top w:w="0" w:type="dxa"/>
              <w:left w:w="108" w:type="dxa"/>
              <w:bottom w:w="0" w:type="dxa"/>
              <w:right w:w="108" w:type="dxa"/>
            </w:tcMar>
            <w:hideMark/>
          </w:tcPr>
          <w:p w:rsidR="001847CC" w:rsidRPr="001847CC" w:rsidRDefault="001847CC" w:rsidP="001847CC">
            <w:pPr>
              <w:autoSpaceDE w:val="0"/>
              <w:autoSpaceDN w:val="0"/>
              <w:spacing w:line="240" w:lineRule="auto"/>
              <w:ind w:firstLine="289"/>
              <w:rPr>
                <w:rFonts w:ascii="Times New Roman" w:eastAsia="Times New Roman" w:hAnsi="Times New Roman"/>
                <w:sz w:val="24"/>
                <w:szCs w:val="24"/>
                <w:lang w:eastAsia="uk-UA"/>
              </w:rPr>
            </w:pPr>
            <w:r w:rsidRPr="001847CC">
              <w:rPr>
                <w:rFonts w:ascii="Verdana" w:eastAsia="Times New Roman" w:hAnsi="Verdana"/>
                <w:sz w:val="20"/>
                <w:szCs w:val="20"/>
                <w:lang w:eastAsia="uk-UA"/>
              </w:rPr>
              <w:t xml:space="preserve">Містить результати розрахунку регіонального індексу людського розвитку за його основними аспектами: відтворення населення, соціальне становище, комфортне життя, добробут, гідна праця, освіта. </w:t>
            </w:r>
          </w:p>
        </w:tc>
      </w:tr>
    </w:tbl>
    <w:p w:rsidR="00650C43" w:rsidRDefault="00650C43"/>
    <w:sectPr w:rsidR="00650C43" w:rsidSect="00D14581">
      <w:pgSz w:w="11906" w:h="16838" w:code="9"/>
      <w:pgMar w:top="851" w:right="707" w:bottom="1134" w:left="1134"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CC"/>
    <w:rsid w:val="00121568"/>
    <w:rsid w:val="001847CC"/>
    <w:rsid w:val="002F16B2"/>
    <w:rsid w:val="00532579"/>
    <w:rsid w:val="0057646A"/>
    <w:rsid w:val="00620549"/>
    <w:rsid w:val="00650C43"/>
    <w:rsid w:val="007033EC"/>
    <w:rsid w:val="007A2288"/>
    <w:rsid w:val="009F7B8F"/>
    <w:rsid w:val="00D145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38738-B7A0-4EC4-AA3F-7C03503B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97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13566</Words>
  <Characters>7734</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O.Vyshnevska</dc:creator>
  <cp:keywords/>
  <dc:description/>
  <cp:lastModifiedBy>O.Vyshnevska</cp:lastModifiedBy>
  <cp:revision>4</cp:revision>
  <dcterms:created xsi:type="dcterms:W3CDTF">2016-06-01T07:09:00Z</dcterms:created>
  <dcterms:modified xsi:type="dcterms:W3CDTF">2018-06-01T11:55:00Z</dcterms:modified>
</cp:coreProperties>
</file>